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FA5C" w14:textId="77777777" w:rsidR="006C187B" w:rsidRDefault="00000000">
      <w:pPr>
        <w:spacing w:before="80" w:after="80"/>
        <w:jc w:val="center"/>
      </w:pPr>
      <w:r>
        <w:rPr>
          <w:b/>
          <w:bCs/>
          <w:sz w:val="26"/>
          <w:szCs w:val="26"/>
        </w:rPr>
        <w:t>KİŞİSEL VERİLERİN KORUNMASI KANUNU KAPSAMINDA</w:t>
      </w:r>
    </w:p>
    <w:p w14:paraId="34945C3C" w14:textId="77777777" w:rsidR="006C187B" w:rsidRDefault="00000000" w:rsidP="005970AD">
      <w:pPr>
        <w:spacing w:before="80" w:after="80"/>
        <w:jc w:val="center"/>
      </w:pPr>
      <w:r>
        <w:rPr>
          <w:b/>
          <w:bCs/>
          <w:sz w:val="26"/>
          <w:szCs w:val="26"/>
        </w:rPr>
        <w:t>ZİYARETÇİ VE KAPALI DEVRE KAMERA SİSTEMİ AYDINLATMA METNİ</w:t>
      </w:r>
    </w:p>
    <w:p w14:paraId="3AA34835" w14:textId="77777777" w:rsidR="006C187B" w:rsidRDefault="006C187B" w:rsidP="005970AD">
      <w:pPr>
        <w:spacing w:before="120" w:after="120"/>
      </w:pPr>
    </w:p>
    <w:p w14:paraId="66C2B6DC" w14:textId="77777777" w:rsidR="00081647" w:rsidRPr="00081647" w:rsidRDefault="00081647" w:rsidP="00081647">
      <w:pPr>
        <w:spacing w:before="180" w:after="80"/>
        <w:jc w:val="both"/>
      </w:pPr>
      <w:r>
        <w:t>Bu aydınlatma metni, SC AS Kuyumculuk Ticaret Anonim Şirketi (bundan böyle “</w:t>
      </w:r>
      <w:r>
        <w:rPr>
          <w:b/>
          <w:bCs/>
        </w:rPr>
        <w:t>Şirket</w:t>
      </w:r>
      <w:r>
        <w:t>” olarak anılacaktır) tarafından 6698 sayılı Kişisel Verilerin Korunması Kanunu’nun (“</w:t>
      </w:r>
      <w:r>
        <w:rPr>
          <w:b/>
          <w:bCs/>
        </w:rPr>
        <w:t>KVKK</w:t>
      </w:r>
      <w:r>
        <w:t>”) 10. maddesi, Aydınlatma Yükümlülüğünün Yerine Getirilmesinde Uyulacak Usul ve Esaslar Hakkında Tebliğ, ilgili ikincil düzenlemeler ile Kişisel Verileri Koruma Kurulu’nun yürürlükteki karar ve ilke kararları çerçevesinde, Şirketi ziyaret eden gerçek kişilerin ve şirket binası ile şube alanı içinde bulunmakta olan kişilerin kişisel verilerinin işlenmesine ilişkin bilgi sunmak amacıyla hazırlanmıştır.</w:t>
      </w:r>
    </w:p>
    <w:p w14:paraId="55583A2F" w14:textId="77777777" w:rsidR="006C187B" w:rsidRDefault="00000000">
      <w:pPr>
        <w:spacing w:before="180" w:after="80"/>
      </w:pPr>
      <w:r>
        <w:rPr>
          <w:b/>
          <w:bCs/>
          <w:sz w:val="26"/>
          <w:szCs w:val="26"/>
        </w:rPr>
        <w:t>1. Veri Sorumlusunun Kimliği</w:t>
      </w:r>
    </w:p>
    <w:p w14:paraId="34BD0227" w14:textId="77777777" w:rsidR="006C187B" w:rsidRDefault="00000000">
      <w:pPr>
        <w:spacing w:before="80" w:after="80"/>
        <w:jc w:val="both"/>
      </w:pPr>
      <w:r>
        <w:t>Kişisel verileriniz, aşağıda kimlik ve iletişim bilgileri yer alan veri sorumlusu sıfatıyla şirketimiz tarafından işlenmektedir:</w:t>
      </w:r>
    </w:p>
    <w:p w14:paraId="52086D48" w14:textId="77777777" w:rsidR="006C187B" w:rsidRDefault="00000000">
      <w:pPr>
        <w:spacing w:before="80" w:after="80"/>
        <w:jc w:val="both"/>
      </w:pPr>
      <w:r>
        <w:rPr>
          <w:b/>
          <w:bCs/>
        </w:rPr>
        <w:t xml:space="preserve">Unvan: </w:t>
      </w:r>
      <w:r>
        <w:t>SC AS Kuyumculuk Ticaret Anonim Şirketi</w:t>
      </w:r>
    </w:p>
    <w:p w14:paraId="28553834" w14:textId="77777777" w:rsidR="006C187B" w:rsidRDefault="00000000">
      <w:pPr>
        <w:spacing w:before="80" w:after="80"/>
        <w:jc w:val="both"/>
      </w:pPr>
      <w:r>
        <w:rPr>
          <w:b/>
          <w:bCs/>
        </w:rPr>
        <w:t xml:space="preserve">Adres: </w:t>
      </w:r>
      <w:r>
        <w:t>Küçükbakkalköy, Başöğretmen Cd NO:15/D, 34750 Ataşehir / İstanbul</w:t>
      </w:r>
    </w:p>
    <w:p w14:paraId="6859DC95" w14:textId="77777777" w:rsidR="006C187B" w:rsidRDefault="00000000">
      <w:pPr>
        <w:spacing w:before="80" w:after="80"/>
        <w:jc w:val="both"/>
      </w:pPr>
      <w:r>
        <w:rPr>
          <w:b/>
          <w:bCs/>
        </w:rPr>
        <w:t xml:space="preserve">Telefon: </w:t>
      </w:r>
      <w:r>
        <w:t>0216 573 80 66</w:t>
      </w:r>
    </w:p>
    <w:p w14:paraId="5A703B16" w14:textId="77777777" w:rsidR="006C187B" w:rsidRDefault="00000000">
      <w:pPr>
        <w:spacing w:before="80" w:after="80"/>
        <w:jc w:val="both"/>
      </w:pPr>
      <w:r>
        <w:rPr>
          <w:b/>
          <w:bCs/>
        </w:rPr>
        <w:t xml:space="preserve">Web sitesi: </w:t>
      </w:r>
      <w:r>
        <w:t>https://www.askuyumcu.com/</w:t>
      </w:r>
    </w:p>
    <w:p w14:paraId="67D1F711" w14:textId="77777777" w:rsidR="006C187B" w:rsidRDefault="00000000">
      <w:pPr>
        <w:spacing w:before="180" w:after="80"/>
      </w:pPr>
      <w:r>
        <w:rPr>
          <w:b/>
          <w:bCs/>
          <w:sz w:val="26"/>
          <w:szCs w:val="26"/>
        </w:rPr>
        <w:t>2. İşlenen Kişisel Veri Kategorileri ve İşleme Amaçları</w:t>
      </w:r>
    </w:p>
    <w:p w14:paraId="0955A440" w14:textId="6341BD35" w:rsidR="006C187B" w:rsidRDefault="00000000">
      <w:pPr>
        <w:spacing w:before="80" w:after="80"/>
        <w:jc w:val="both"/>
      </w:pPr>
      <w:r>
        <w:t>şirketimiz binasına ve şubemize yapılan ziyaretler ile şirket içi güvenlik faaliyetleri kapsamında aşağıda belirtilen kişisel veri kategorileri, ilgili amaçlarla işlenmektedir:</w:t>
      </w:r>
    </w:p>
    <w:p w14:paraId="358AD5BC" w14:textId="409E4687" w:rsidR="006C187B" w:rsidRDefault="005970AD">
      <w:pPr>
        <w:spacing w:before="80" w:after="80"/>
        <w:jc w:val="both"/>
      </w:pPr>
      <w:r>
        <w:rPr>
          <w:b/>
          <w:bCs/>
        </w:rPr>
        <w:t xml:space="preserve">2.1 Görüntü verisi (kapalı devre kamera): </w:t>
      </w:r>
      <w:r>
        <w:t>şirket binası, şube içi alanlar ve giriş-çıkış noktalarında kurulan kapalı devre kamera sistemi (CCTV) aracılığıyla elde edilen video görüntü kaydı; şirket, çalışan, müşteri ve ziyaretçi güvenliğinin temini, fiziksel alan ile şirket varlıklarının korunması, suç ve usulsüzlüklerin önlenmesi ile yetkili kamu kurum ve kuruluşlarına yönelik yasal bildirim yükümlülüklerinin yerine getirilmesi amacıyla işlenmektedir. Kamera sistemi ses kaydı yapmamaktadır. Kamera sistemi kurulan alanlara girişlerde gerekli uyarı levhaları bulundurulmaktadır.</w:t>
      </w:r>
    </w:p>
    <w:p w14:paraId="2A3666C3" w14:textId="77777777" w:rsidR="006C187B" w:rsidRDefault="00000000">
      <w:pPr>
        <w:spacing w:before="180" w:after="80"/>
      </w:pPr>
      <w:r>
        <w:rPr>
          <w:b/>
          <w:bCs/>
          <w:sz w:val="26"/>
          <w:szCs w:val="26"/>
        </w:rPr>
        <w:t>3. Kişisel Verilerin İşlenmesinin Hukuki Dayanağı</w:t>
      </w:r>
    </w:p>
    <w:p w14:paraId="04111C0A" w14:textId="77777777" w:rsidR="006C187B" w:rsidRDefault="00000000">
      <w:pPr>
        <w:spacing w:before="80" w:after="80"/>
        <w:jc w:val="both"/>
      </w:pPr>
      <w:r>
        <w:t>Ziyaretçi giriş kayıtları ve kapalı devre kamera sistemi aracılığıyla yürütülen kişisel veri işleme faaliyetleri, KVKK Madde 5/2-f kapsamında veri sorumlusunun meşru menfaatlerine dayalı olarak gerçekleştirilmektedir. Söz konusu meşru menfaat; şirketin, çalışanların ve ziyaretçilerin fiziksel güvenliğinin sağlanması, şirket varlıklarının korunması ve işyeri düzeninin sürdürülmesidir. Anılan meşru menfaatin, veri sahiplerinin temel hak ve özgürlüklerine orantısız bir zarar vermediği değerlendirilmektedir. Ayrıca, MASAK mevzuatı ve ilgili kamu düzenlemelerinden doğan yükümlülükler bakımından KVKK Madde 5/2-ç (hukuki yükümlülük) hukuki dayanağı da uygulanabilir niteliktedir.</w:t>
      </w:r>
    </w:p>
    <w:p w14:paraId="1F6D4CE7" w14:textId="77777777" w:rsidR="006C187B" w:rsidRDefault="00000000">
      <w:pPr>
        <w:spacing w:before="180" w:after="80"/>
      </w:pPr>
      <w:r>
        <w:rPr>
          <w:b/>
          <w:bCs/>
          <w:sz w:val="26"/>
          <w:szCs w:val="26"/>
        </w:rPr>
        <w:t>4. Kişisel Verilerin Aktarılması</w:t>
      </w:r>
    </w:p>
    <w:p w14:paraId="3F2C0645" w14:textId="77777777" w:rsidR="006C187B" w:rsidRDefault="00000000">
      <w:pPr>
        <w:spacing w:before="80" w:after="80"/>
        <w:jc w:val="both"/>
      </w:pPr>
      <w:r>
        <w:t>Ziyaretçi giriş kayıtları ve kamera görüntü verileri; adli ve idari soruşturmalar ile MASAK, BDDK ve diğer yetkili denetim mercilerinin talebi doğrultusunda ilgili kamu kurum ve kuruluşları ile yargı mercileriyle paylaşılabilmektedir. Bunun dışında herhangi bir üçüncü kişiyle aktarım yapılmamaktadır.</w:t>
      </w:r>
    </w:p>
    <w:p w14:paraId="16F9626E" w14:textId="77777777" w:rsidR="006C187B" w:rsidRDefault="00000000">
      <w:pPr>
        <w:spacing w:before="180" w:after="80"/>
      </w:pPr>
      <w:r>
        <w:rPr>
          <w:b/>
          <w:bCs/>
          <w:sz w:val="26"/>
          <w:szCs w:val="26"/>
        </w:rPr>
        <w:t>5. Kişisel Verilerin Saklanma Süreleri</w:t>
      </w:r>
    </w:p>
    <w:p w14:paraId="10B6C9E5" w14:textId="77777777" w:rsidR="006C187B" w:rsidRDefault="00000000">
      <w:pPr>
        <w:pStyle w:val="ListeParagraf"/>
        <w:numPr>
          <w:ilvl w:val="0"/>
          <w:numId w:val="2"/>
        </w:numPr>
        <w:spacing w:before="40" w:after="40"/>
        <w:jc w:val="both"/>
      </w:pPr>
      <w:r>
        <w:lastRenderedPageBreak/>
        <w:t>Kapalı devre kamera kayıtları: Kayıt tarihinden itibaren 3 (üç) ay. Bu sürenin sona ermesi halinde kayıtlar sistemden otomatik olarak silinmektedir.</w:t>
      </w:r>
    </w:p>
    <w:p w14:paraId="4F6C0FA9" w14:textId="77777777" w:rsidR="006C187B" w:rsidRDefault="00000000">
      <w:pPr>
        <w:spacing w:before="80" w:after="80"/>
        <w:jc w:val="both"/>
      </w:pPr>
      <w:r>
        <w:t>Bununla birlikte, bir soruşturma, dava veya idari işlem kapsamında ilgili mercilerce talep edilmesi durumunda söz konusu veriler yasal süre sonuna kadar muhafaza edilebilir. Saklama sürelerinin sona ermesi veya işleme amacının ortadan kalkması halinde kişisel veriler silinmekte, yok edilmekte ya da anonim hale getirilmektedir.</w:t>
      </w:r>
    </w:p>
    <w:p w14:paraId="7FA1AC71" w14:textId="77777777" w:rsidR="006C187B" w:rsidRDefault="00000000">
      <w:pPr>
        <w:spacing w:before="180" w:after="80"/>
      </w:pPr>
      <w:r>
        <w:rPr>
          <w:b/>
          <w:bCs/>
          <w:sz w:val="26"/>
          <w:szCs w:val="26"/>
        </w:rPr>
        <w:t>6. Veri Sahiplerinin Hakları ve Başvuru Yöntemi</w:t>
      </w:r>
    </w:p>
    <w:p w14:paraId="78617A63" w14:textId="77777777" w:rsidR="006C187B" w:rsidRDefault="00000000">
      <w:pPr>
        <w:spacing w:before="80" w:after="80"/>
        <w:jc w:val="both"/>
      </w:pPr>
      <w:r>
        <w:t>KVKK’nın 11. maddesi uyarınca aşağıda belirtilen haklara sahipsiniz:</w:t>
      </w:r>
    </w:p>
    <w:p w14:paraId="4EA1143C" w14:textId="77777777" w:rsidR="006C187B" w:rsidRPr="00773B39" w:rsidRDefault="00000000">
      <w:pPr>
        <w:pStyle w:val="ListeParagraf"/>
        <w:numPr>
          <w:ilvl w:val="0"/>
          <w:numId w:val="2"/>
        </w:numPr>
        <w:spacing w:before="40" w:after="40"/>
        <w:jc w:val="both"/>
        <w:rPr>
          <w:i/>
          <w:iCs/>
          <w:sz w:val="22"/>
          <w:szCs w:val="22"/>
        </w:rPr>
      </w:pPr>
      <w:r>
        <w:rPr>
          <w:i/>
          <w:iCs/>
          <w:sz w:val="22"/>
          <w:szCs w:val="22"/>
        </w:rPr>
        <w:t>Kişisel verilerinizin işlenip işlenmediğini öğrenme,</w:t>
      </w:r>
    </w:p>
    <w:p w14:paraId="14922DC6" w14:textId="77777777" w:rsidR="006C187B" w:rsidRPr="00773B39" w:rsidRDefault="00000000">
      <w:pPr>
        <w:pStyle w:val="ListeParagraf"/>
        <w:numPr>
          <w:ilvl w:val="0"/>
          <w:numId w:val="2"/>
        </w:numPr>
        <w:spacing w:before="40" w:after="40"/>
        <w:jc w:val="both"/>
        <w:rPr>
          <w:i/>
          <w:iCs/>
          <w:sz w:val="22"/>
          <w:szCs w:val="22"/>
        </w:rPr>
      </w:pPr>
      <w:r>
        <w:rPr>
          <w:i/>
          <w:iCs/>
          <w:sz w:val="22"/>
          <w:szCs w:val="22"/>
        </w:rPr>
        <w:t>İşlenmişse buna ilişkin bilgi talep etme,</w:t>
      </w:r>
    </w:p>
    <w:p w14:paraId="46F2AE97" w14:textId="77777777" w:rsidR="006C187B" w:rsidRPr="00773B39" w:rsidRDefault="00000000">
      <w:pPr>
        <w:pStyle w:val="ListeParagraf"/>
        <w:numPr>
          <w:ilvl w:val="0"/>
          <w:numId w:val="2"/>
        </w:numPr>
        <w:spacing w:before="40" w:after="40"/>
        <w:jc w:val="both"/>
        <w:rPr>
          <w:i/>
          <w:iCs/>
          <w:sz w:val="22"/>
          <w:szCs w:val="22"/>
        </w:rPr>
      </w:pPr>
      <w:r>
        <w:rPr>
          <w:i/>
          <w:iCs/>
          <w:sz w:val="22"/>
          <w:szCs w:val="22"/>
        </w:rPr>
        <w:t>İşlenme amacını ve amacına uygun kullanılıp kullanılmadığını öğrenme,</w:t>
      </w:r>
    </w:p>
    <w:p w14:paraId="6720B065" w14:textId="77777777" w:rsidR="006C187B" w:rsidRPr="00773B39" w:rsidRDefault="00000000">
      <w:pPr>
        <w:pStyle w:val="ListeParagraf"/>
        <w:numPr>
          <w:ilvl w:val="0"/>
          <w:numId w:val="2"/>
        </w:numPr>
        <w:spacing w:before="40" w:after="40"/>
        <w:jc w:val="both"/>
        <w:rPr>
          <w:i/>
          <w:iCs/>
          <w:sz w:val="22"/>
          <w:szCs w:val="22"/>
        </w:rPr>
      </w:pPr>
      <w:r>
        <w:rPr>
          <w:i/>
          <w:iCs/>
          <w:sz w:val="22"/>
          <w:szCs w:val="22"/>
        </w:rPr>
        <w:t>Yurt içinde veya yurt dışında aktarıldığı üçüncü kişileri öğrenme,</w:t>
      </w:r>
    </w:p>
    <w:p w14:paraId="6C1BEEDA" w14:textId="77777777" w:rsidR="006C187B" w:rsidRPr="00773B39" w:rsidRDefault="00000000">
      <w:pPr>
        <w:pStyle w:val="ListeParagraf"/>
        <w:numPr>
          <w:ilvl w:val="0"/>
          <w:numId w:val="2"/>
        </w:numPr>
        <w:spacing w:before="40" w:after="40"/>
        <w:jc w:val="both"/>
        <w:rPr>
          <w:i/>
          <w:iCs/>
          <w:sz w:val="22"/>
          <w:szCs w:val="22"/>
        </w:rPr>
      </w:pPr>
      <w:r>
        <w:rPr>
          <w:i/>
          <w:iCs/>
          <w:sz w:val="22"/>
          <w:szCs w:val="22"/>
        </w:rPr>
        <w:t>Eksik veya yanlış işlenmiş verilerinizin düzeltilmesini isteme,</w:t>
      </w:r>
    </w:p>
    <w:p w14:paraId="06A70B13" w14:textId="77777777" w:rsidR="006C187B" w:rsidRPr="00773B39" w:rsidRDefault="00000000">
      <w:pPr>
        <w:pStyle w:val="ListeParagraf"/>
        <w:numPr>
          <w:ilvl w:val="0"/>
          <w:numId w:val="2"/>
        </w:numPr>
        <w:spacing w:before="40" w:after="40"/>
        <w:jc w:val="both"/>
        <w:rPr>
          <w:i/>
          <w:iCs/>
          <w:sz w:val="22"/>
          <w:szCs w:val="22"/>
        </w:rPr>
      </w:pPr>
      <w:r>
        <w:rPr>
          <w:i/>
          <w:iCs/>
          <w:sz w:val="22"/>
          <w:szCs w:val="22"/>
        </w:rPr>
        <w:t>KVKK’nın 7. maddesinde öngörülen şartlar çerçevesinde silinmesini veya yok edilmesini isteme,</w:t>
      </w:r>
    </w:p>
    <w:p w14:paraId="51607E57" w14:textId="77777777" w:rsidR="006C187B" w:rsidRPr="00773B39" w:rsidRDefault="00000000">
      <w:pPr>
        <w:pStyle w:val="ListeParagraf"/>
        <w:numPr>
          <w:ilvl w:val="0"/>
          <w:numId w:val="2"/>
        </w:numPr>
        <w:spacing w:before="40" w:after="40"/>
        <w:jc w:val="both"/>
        <w:rPr>
          <w:i/>
          <w:iCs/>
          <w:sz w:val="22"/>
          <w:szCs w:val="22"/>
        </w:rPr>
      </w:pPr>
      <w:r>
        <w:rPr>
          <w:i/>
          <w:iCs/>
          <w:sz w:val="22"/>
          <w:szCs w:val="22"/>
        </w:rPr>
        <w:t>Aktarıldığı üçüncü kişilere yukarıdaki işlemlerin bildirilmesini isteme,</w:t>
      </w:r>
    </w:p>
    <w:p w14:paraId="7DDBB069" w14:textId="77777777" w:rsidR="006C187B" w:rsidRPr="00773B39" w:rsidRDefault="00000000">
      <w:pPr>
        <w:pStyle w:val="ListeParagraf"/>
        <w:numPr>
          <w:ilvl w:val="0"/>
          <w:numId w:val="2"/>
        </w:numPr>
        <w:spacing w:before="40" w:after="40"/>
        <w:jc w:val="both"/>
        <w:rPr>
          <w:i/>
          <w:iCs/>
          <w:sz w:val="22"/>
          <w:szCs w:val="22"/>
        </w:rPr>
      </w:pPr>
      <w:r>
        <w:rPr>
          <w:i/>
          <w:iCs/>
          <w:sz w:val="22"/>
          <w:szCs w:val="22"/>
        </w:rPr>
        <w:t>İşlenen verilerin münhasıran otomatik sistemler vasıtasıyla analiz edilmesi suretiyle aleyhinize bir sonuç ortaya çıkmasına itiraz etme,</w:t>
      </w:r>
    </w:p>
    <w:p w14:paraId="700BA00E" w14:textId="77777777" w:rsidR="006C187B" w:rsidRPr="00773B39" w:rsidRDefault="00000000">
      <w:pPr>
        <w:pStyle w:val="ListeParagraf"/>
        <w:numPr>
          <w:ilvl w:val="0"/>
          <w:numId w:val="2"/>
        </w:numPr>
        <w:spacing w:before="40" w:after="40"/>
        <w:jc w:val="both"/>
        <w:rPr>
          <w:i/>
          <w:iCs/>
          <w:sz w:val="22"/>
          <w:szCs w:val="22"/>
        </w:rPr>
      </w:pPr>
      <w:r>
        <w:rPr>
          <w:i/>
          <w:iCs/>
          <w:sz w:val="22"/>
          <w:szCs w:val="22"/>
        </w:rPr>
        <w:t>Kanuna aykırı işlenmesi sebebiyle zarara uğranılması halinde zararın giderilmesini talep etme.</w:t>
      </w:r>
    </w:p>
    <w:p w14:paraId="0908394B" w14:textId="38756EF3" w:rsidR="006C187B" w:rsidRDefault="00000000">
      <w:pPr>
        <w:spacing w:before="80" w:after="80"/>
        <w:jc w:val="both"/>
      </w:pPr>
      <w:r>
        <w:t xml:space="preserve">Yukarıda belirtilen haklarınızı kullanmak için şirketin yukarıda yer alan adresine kimliğinizi ispatlayıcı belgelerle şahsen başvurabilir ya da </w:t>
      </w:r>
      <w:hyperlink r:id="rId7" w:history="1">
        <w:r>
          <w:rPr>
            <w:rStyle w:val="Kpr"/>
          </w:rPr>
          <w:t/>
        </w:r>
      </w:hyperlink>
      <w:r>
        <w:t xml:space="preserve"> adresine güvenli elektronik posta göndererek talepte bulunabilirsiniz. Başvurularınız KVKK Madde 13 çerçevesinde otuz (30) gün içinde sonuçlandırılacaktır.</w:t>
      </w:r>
    </w:p>
    <w:p w14:paraId="1B8A9DA2" w14:textId="77777777" w:rsidR="006C187B" w:rsidRDefault="006C187B">
      <w:pPr>
        <w:spacing w:before="200" w:after="100"/>
      </w:pPr>
    </w:p>
    <w:p w14:paraId="2FCE09D9" w14:textId="77777777" w:rsidR="006C187B" w:rsidRDefault="006C187B" w:rsidP="005970AD">
      <w:pPr>
        <w:spacing w:before="120" w:after="120"/>
      </w:pPr>
    </w:p>
    <w:p w14:paraId="0E5C93F1" w14:textId="77777777" w:rsidR="006C187B" w:rsidRDefault="00000000" w:rsidP="005970AD">
      <w:pPr>
        <w:spacing w:before="80" w:after="80"/>
        <w:jc w:val="both"/>
      </w:pPr>
      <w:r>
        <w:t>Bu aydınlatma metni, yasal mevzuattaki değişiklikler veya şirketin iş süreçlerindeki güncellemeler doğrultusunda revize edilebilir. Güncel versiyona şirket internet sitesi ve şube girişlerindeki ilan panoları aracılığıyla ulaşabilirsiniz.</w:t>
      </w:r>
    </w:p>
    <w:p w14:paraId="04F82DE3" w14:textId="13047FF6" w:rsidR="006C187B" w:rsidRDefault="006C187B">
      <w:pPr>
        <w:spacing w:before="80" w:after="80"/>
        <w:jc w:val="center"/>
      </w:pPr>
    </w:p>
    <w:sectPr w:rsidR="006C187B">
      <w:footerReference w:type="default" r:id="rId8"/>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5454" w14:textId="77777777" w:rsidR="00615C98" w:rsidRDefault="00615C98">
      <w:r>
        <w:separator/>
      </w:r>
    </w:p>
  </w:endnote>
  <w:endnote w:type="continuationSeparator" w:id="0">
    <w:p w14:paraId="5B49973C" w14:textId="77777777" w:rsidR="00615C98" w:rsidRDefault="0061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1F3E" w14:textId="7F5BE21F" w:rsidR="006C187B" w:rsidRDefault="006C187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F449" w14:textId="77777777" w:rsidR="00615C98" w:rsidRDefault="00615C98">
      <w:r>
        <w:separator/>
      </w:r>
    </w:p>
  </w:footnote>
  <w:footnote w:type="continuationSeparator" w:id="0">
    <w:p w14:paraId="3709FB0A" w14:textId="77777777" w:rsidR="00615C98" w:rsidRDefault="00615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C2D"/>
    <w:multiLevelType w:val="hybridMultilevel"/>
    <w:tmpl w:val="55F058F4"/>
    <w:lvl w:ilvl="0" w:tplc="027E0B88">
      <w:start w:val="1"/>
      <w:numFmt w:val="bullet"/>
      <w:lvlText w:val="●"/>
      <w:lvlJc w:val="left"/>
      <w:pPr>
        <w:ind w:left="720" w:hanging="360"/>
      </w:pPr>
    </w:lvl>
    <w:lvl w:ilvl="1" w:tplc="9EE67994">
      <w:start w:val="1"/>
      <w:numFmt w:val="bullet"/>
      <w:lvlText w:val="○"/>
      <w:lvlJc w:val="left"/>
      <w:pPr>
        <w:ind w:left="1440" w:hanging="360"/>
      </w:pPr>
    </w:lvl>
    <w:lvl w:ilvl="2" w:tplc="A7306AAE">
      <w:start w:val="1"/>
      <w:numFmt w:val="bullet"/>
      <w:lvlText w:val="■"/>
      <w:lvlJc w:val="left"/>
      <w:pPr>
        <w:ind w:left="2160" w:hanging="360"/>
      </w:pPr>
    </w:lvl>
    <w:lvl w:ilvl="3" w:tplc="1082C49C">
      <w:start w:val="1"/>
      <w:numFmt w:val="bullet"/>
      <w:lvlText w:val="●"/>
      <w:lvlJc w:val="left"/>
      <w:pPr>
        <w:ind w:left="2880" w:hanging="360"/>
      </w:pPr>
    </w:lvl>
    <w:lvl w:ilvl="4" w:tplc="1DEA076A">
      <w:start w:val="1"/>
      <w:numFmt w:val="bullet"/>
      <w:lvlText w:val="○"/>
      <w:lvlJc w:val="left"/>
      <w:pPr>
        <w:ind w:left="3600" w:hanging="360"/>
      </w:pPr>
    </w:lvl>
    <w:lvl w:ilvl="5" w:tplc="B3123812">
      <w:start w:val="1"/>
      <w:numFmt w:val="bullet"/>
      <w:lvlText w:val="■"/>
      <w:lvlJc w:val="left"/>
      <w:pPr>
        <w:ind w:left="4320" w:hanging="360"/>
      </w:pPr>
    </w:lvl>
    <w:lvl w:ilvl="6" w:tplc="82E64164">
      <w:start w:val="1"/>
      <w:numFmt w:val="bullet"/>
      <w:lvlText w:val="●"/>
      <w:lvlJc w:val="left"/>
      <w:pPr>
        <w:ind w:left="5040" w:hanging="360"/>
      </w:pPr>
    </w:lvl>
    <w:lvl w:ilvl="7" w:tplc="0D061DC8">
      <w:start w:val="1"/>
      <w:numFmt w:val="bullet"/>
      <w:lvlText w:val="●"/>
      <w:lvlJc w:val="left"/>
      <w:pPr>
        <w:ind w:left="5760" w:hanging="360"/>
      </w:pPr>
    </w:lvl>
    <w:lvl w:ilvl="8" w:tplc="D35CF3A4">
      <w:start w:val="1"/>
      <w:numFmt w:val="bullet"/>
      <w:lvlText w:val="●"/>
      <w:lvlJc w:val="left"/>
      <w:pPr>
        <w:ind w:left="6480" w:hanging="360"/>
      </w:pPr>
    </w:lvl>
  </w:abstractNum>
  <w:abstractNum w:abstractNumId="1" w15:restartNumberingAfterBreak="0">
    <w:nsid w:val="599869CE"/>
    <w:multiLevelType w:val="hybridMultilevel"/>
    <w:tmpl w:val="9634B28E"/>
    <w:lvl w:ilvl="0" w:tplc="640ED7CA">
      <w:start w:val="1"/>
      <w:numFmt w:val="bullet"/>
      <w:lvlText w:val="•"/>
      <w:lvlJc w:val="left"/>
      <w:pPr>
        <w:ind w:left="720" w:hanging="360"/>
      </w:pPr>
    </w:lvl>
    <w:lvl w:ilvl="1" w:tplc="F95828BE">
      <w:numFmt w:val="decimal"/>
      <w:lvlText w:val=""/>
      <w:lvlJc w:val="left"/>
    </w:lvl>
    <w:lvl w:ilvl="2" w:tplc="5D2A69F6">
      <w:numFmt w:val="decimal"/>
      <w:lvlText w:val=""/>
      <w:lvlJc w:val="left"/>
    </w:lvl>
    <w:lvl w:ilvl="3" w:tplc="878A2D38">
      <w:numFmt w:val="decimal"/>
      <w:lvlText w:val=""/>
      <w:lvlJc w:val="left"/>
    </w:lvl>
    <w:lvl w:ilvl="4" w:tplc="4D30A748">
      <w:numFmt w:val="decimal"/>
      <w:lvlText w:val=""/>
      <w:lvlJc w:val="left"/>
    </w:lvl>
    <w:lvl w:ilvl="5" w:tplc="F8FC662A">
      <w:numFmt w:val="decimal"/>
      <w:lvlText w:val=""/>
      <w:lvlJc w:val="left"/>
    </w:lvl>
    <w:lvl w:ilvl="6" w:tplc="DEB2CCB6">
      <w:numFmt w:val="decimal"/>
      <w:lvlText w:val=""/>
      <w:lvlJc w:val="left"/>
    </w:lvl>
    <w:lvl w:ilvl="7" w:tplc="131C7510">
      <w:numFmt w:val="decimal"/>
      <w:lvlText w:val=""/>
      <w:lvlJc w:val="left"/>
    </w:lvl>
    <w:lvl w:ilvl="8" w:tplc="84F88E52">
      <w:numFmt w:val="decimal"/>
      <w:lvlText w:val=""/>
      <w:lvlJc w:val="left"/>
    </w:lvl>
  </w:abstractNum>
  <w:num w:numId="1" w16cid:durableId="1555193546">
    <w:abstractNumId w:val="0"/>
    <w:lvlOverride w:ilvl="0">
      <w:startOverride w:val="1"/>
    </w:lvlOverride>
  </w:num>
  <w:num w:numId="2" w16cid:durableId="7394071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7B"/>
    <w:rsid w:val="00081647"/>
    <w:rsid w:val="005970AD"/>
    <w:rsid w:val="00615C98"/>
    <w:rsid w:val="006C187B"/>
    <w:rsid w:val="00773B39"/>
    <w:rsid w:val="007B22EF"/>
    <w:rsid w:val="00AC60B0"/>
    <w:rsid w:val="00D26526"/>
    <w:rsid w:val="00D61E26"/>
    <w:rsid w:val="00F32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FF21"/>
  <w15:docId w15:val="{C8EC04A1-54A5-4DD4-96CD-7F64FB46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5970AD"/>
    <w:pPr>
      <w:tabs>
        <w:tab w:val="center" w:pos="4536"/>
        <w:tab w:val="right" w:pos="9072"/>
      </w:tabs>
    </w:pPr>
  </w:style>
  <w:style w:type="character" w:customStyle="1" w:styleId="stBilgiChar">
    <w:name w:val="Üst Bilgi Char"/>
    <w:basedOn w:val="VarsaylanParagrafYazTipi"/>
    <w:link w:val="stBilgi"/>
    <w:uiPriority w:val="99"/>
    <w:rsid w:val="005970AD"/>
  </w:style>
  <w:style w:type="paragraph" w:styleId="AltBilgi">
    <w:name w:val="footer"/>
    <w:basedOn w:val="Normal"/>
    <w:link w:val="AltBilgiChar"/>
    <w:uiPriority w:val="99"/>
    <w:unhideWhenUsed/>
    <w:rsid w:val="005970AD"/>
    <w:pPr>
      <w:tabs>
        <w:tab w:val="center" w:pos="4536"/>
        <w:tab w:val="right" w:pos="9072"/>
      </w:tabs>
    </w:pPr>
  </w:style>
  <w:style w:type="character" w:customStyle="1" w:styleId="AltBilgiChar">
    <w:name w:val="Alt Bilgi Char"/>
    <w:basedOn w:val="VarsaylanParagrafYazTipi"/>
    <w:link w:val="AltBilgi"/>
    <w:uiPriority w:val="99"/>
    <w:rsid w:val="005970AD"/>
  </w:style>
  <w:style w:type="character" w:styleId="zmlenmeyenBahsetme">
    <w:name w:val="Unresolved Mention"/>
    <w:basedOn w:val="VarsaylanParagrafYazTipi"/>
    <w:uiPriority w:val="99"/>
    <w:semiHidden/>
    <w:unhideWhenUsed/>
    <w:rsid w:val="0077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Betül Eren</cp:lastModifiedBy>
  <cp:revision>4</cp:revision>
  <dcterms:created xsi:type="dcterms:W3CDTF">2026-04-23T14:36:00Z</dcterms:created>
  <dcterms:modified xsi:type="dcterms:W3CDTF">2026-04-24T07:17:00Z</dcterms:modified>
</cp:coreProperties>
</file>