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7D3A" w14:textId="77777777" w:rsidR="00236023" w:rsidRDefault="00000000">
      <w:pPr>
        <w:spacing w:before="80" w:after="80"/>
        <w:jc w:val="center"/>
      </w:pPr>
      <w:r>
        <w:rPr>
          <w:b/>
          <w:bCs/>
          <w:sz w:val="26"/>
          <w:szCs w:val="26"/>
        </w:rPr>
        <w:t>KİŞİSEL VERİLERİN KORUNMASI KANUNU KAPSAMINDA</w:t>
      </w:r>
    </w:p>
    <w:p w14:paraId="3560C8FA" w14:textId="77777777" w:rsidR="00236023" w:rsidRDefault="00000000" w:rsidP="00232E0E">
      <w:pPr>
        <w:spacing w:before="80" w:after="80"/>
        <w:jc w:val="center"/>
      </w:pPr>
      <w:r>
        <w:rPr>
          <w:b/>
          <w:bCs/>
          <w:sz w:val="26"/>
          <w:szCs w:val="26"/>
        </w:rPr>
        <w:t>MÜŞTERİ AYDINLATMA METNİ</w:t>
      </w:r>
    </w:p>
    <w:p w14:paraId="5D0AED6B" w14:textId="77777777" w:rsidR="00236023" w:rsidRDefault="00236023" w:rsidP="00232E0E">
      <w:pPr>
        <w:spacing w:before="100" w:after="100"/>
      </w:pPr>
    </w:p>
    <w:p w14:paraId="07431078" w14:textId="1515D927" w:rsidR="00236023" w:rsidRDefault="00000000" w:rsidP="00232E0E">
      <w:pPr>
        <w:spacing w:before="80" w:after="80"/>
        <w:jc w:val="both"/>
      </w:pPr>
      <w:r>
        <w:t>Bu aydınlatma metni, SC AS Kuyumculuk Ticaret Anonim Şirketi (bundan böyle “</w:t>
      </w:r>
      <w:r>
        <w:rPr>
          <w:b/>
          <w:bCs/>
        </w:rPr>
        <w:t>Şirket</w:t>
      </w:r>
      <w:r>
        <w:t>” olarak anılacaktır) tarafından 6698 sayılı Kişisel Verilerin Korunması Kanunu’nun (“</w:t>
      </w:r>
      <w:r>
        <w:rPr>
          <w:b/>
          <w:bCs/>
        </w:rPr>
        <w:t>KVKK</w:t>
      </w:r>
      <w:r>
        <w:t xml:space="preserve">”) 10. maddesi ile Aydınlatma Yükümlülüğünün Yerine Getirilmesinde Uyulacak Usul ve Esaslar Hakkında Tebliğ, ilgili ikincil düzenlemeler ile Kişisel Verileri Koruma Kurulu’nun yürürlükteki karar ve ilke kararları çerçevesinde, </w:t>
      </w:r>
      <w:r w:rsidR="00BD13FE">
        <w:t>kuyum</w:t>
      </w:r>
      <w:r>
        <w:t xml:space="preserve"> </w:t>
      </w:r>
      <w:r w:rsidR="00BD13FE">
        <w:t xml:space="preserve">ticareti </w:t>
      </w:r>
      <w:r>
        <w:t>hizmetlerimizden yararlanan müşterilerimizin kişisel verilerinin işlenmesine ilişkin bilgi sunmak amacıyla hazırlanmıştır.</w:t>
      </w:r>
    </w:p>
    <w:p w14:paraId="32DB82F8" w14:textId="77777777" w:rsidR="00236023" w:rsidRDefault="00000000">
      <w:pPr>
        <w:spacing w:before="160" w:after="80"/>
      </w:pPr>
      <w:r>
        <w:rPr>
          <w:b/>
          <w:bCs/>
          <w:sz w:val="26"/>
          <w:szCs w:val="26"/>
        </w:rPr>
        <w:t>1. Veri Sorumlusunun Kimliği</w:t>
      </w:r>
    </w:p>
    <w:p w14:paraId="2A3C207D" w14:textId="77777777" w:rsidR="00236023" w:rsidRDefault="00000000">
      <w:pPr>
        <w:spacing w:before="80" w:after="80"/>
        <w:jc w:val="both"/>
      </w:pPr>
      <w:r>
        <w:t>Kişisel verileriniz aşağıda kimlik ve iletişim bilgileri yer alan veri sorumlusu sıfatıyla Şirketimiz tarafından işlenmektedir:</w:t>
      </w:r>
    </w:p>
    <w:p w14:paraId="5FB71E52" w14:textId="77777777" w:rsidR="00236023" w:rsidRDefault="00000000">
      <w:pPr>
        <w:spacing w:before="80" w:after="80"/>
        <w:jc w:val="both"/>
      </w:pPr>
      <w:r>
        <w:rPr>
          <w:b/>
          <w:bCs/>
        </w:rPr>
        <w:t xml:space="preserve">Unvan: </w:t>
      </w:r>
      <w:r>
        <w:t>SC AS Kuyumculuk Ticaret Anonim Şirketi</w:t>
      </w:r>
    </w:p>
    <w:p w14:paraId="0F131180" w14:textId="77777777" w:rsidR="00236023" w:rsidRDefault="00000000">
      <w:pPr>
        <w:spacing w:before="80" w:after="80"/>
        <w:jc w:val="both"/>
      </w:pPr>
      <w:r>
        <w:rPr>
          <w:b/>
          <w:bCs/>
        </w:rPr>
        <w:t xml:space="preserve">Adres: </w:t>
      </w:r>
      <w:r>
        <w:t>Küçükbakkalköy, Başöğretmen Cd NO:15/D, 34750 Ataşehir / İstanbul</w:t>
      </w:r>
    </w:p>
    <w:p w14:paraId="69930994" w14:textId="77777777" w:rsidR="00236023" w:rsidRDefault="00000000">
      <w:pPr>
        <w:spacing w:before="80" w:after="80"/>
        <w:jc w:val="both"/>
      </w:pPr>
      <w:r>
        <w:rPr>
          <w:b/>
          <w:bCs/>
        </w:rPr>
        <w:t xml:space="preserve">Telefon: </w:t>
      </w:r>
      <w:r>
        <w:t>0216 573 80 66</w:t>
      </w:r>
    </w:p>
    <w:p w14:paraId="48E367CE" w14:textId="77777777" w:rsidR="00236023" w:rsidRDefault="00000000">
      <w:pPr>
        <w:spacing w:before="80" w:after="80"/>
        <w:jc w:val="both"/>
      </w:pPr>
      <w:r>
        <w:rPr>
          <w:b/>
          <w:bCs/>
        </w:rPr>
        <w:t xml:space="preserve">Web sitesi: </w:t>
      </w:r>
      <w:r>
        <w:t>https://www.askuyumcu.com/</w:t>
      </w:r>
    </w:p>
    <w:p w14:paraId="6B6D8C3B" w14:textId="77777777" w:rsidR="00236023" w:rsidRDefault="00000000">
      <w:pPr>
        <w:spacing w:before="160" w:after="80"/>
      </w:pPr>
      <w:r>
        <w:rPr>
          <w:b/>
          <w:bCs/>
          <w:sz w:val="26"/>
          <w:szCs w:val="26"/>
        </w:rPr>
        <w:t>2. İşlenen Kişisel Veri Kategorileri</w:t>
      </w:r>
    </w:p>
    <w:p w14:paraId="64A99942" w14:textId="02387939" w:rsidR="00236023" w:rsidRDefault="00000000">
      <w:pPr>
        <w:spacing w:before="80" w:after="80"/>
        <w:jc w:val="both"/>
      </w:pPr>
      <w:r>
        <w:t xml:space="preserve">Şirketimizle </w:t>
      </w:r>
      <w:r w:rsidR="00BD13FE">
        <w:t>kuyum ticareti</w:t>
      </w:r>
      <w:r>
        <w:t xml:space="preserve"> işlem ilişkisi kurmanız halinde, aşağıda belirtilen kişisel veri kategorileri işlenmektedir:</w:t>
      </w:r>
    </w:p>
    <w:p w14:paraId="5969737C" w14:textId="77777777" w:rsidR="00236023" w:rsidRDefault="00000000">
      <w:pPr>
        <w:spacing w:before="80" w:after="80"/>
        <w:jc w:val="both"/>
      </w:pPr>
      <w:r>
        <w:rPr>
          <w:b/>
          <w:bCs/>
        </w:rPr>
        <w:t>a) Kimlik Verileri</w:t>
      </w:r>
      <w:r>
        <w:t>: Ad ve soyad, doğum tarihi, doğum yeri, T.C. kimlik numarası (yabancı uyruklu müşteriler için pasaport numarası veya yabancı kimlik numarası), nüfus kayıt bilgileri, imza.</w:t>
      </w:r>
    </w:p>
    <w:p w14:paraId="3D803536" w14:textId="77777777" w:rsidR="00236023" w:rsidRDefault="00000000">
      <w:pPr>
        <w:spacing w:before="80" w:after="80"/>
        <w:jc w:val="both"/>
      </w:pPr>
      <w:r>
        <w:rPr>
          <w:b/>
          <w:bCs/>
        </w:rPr>
        <w:t>b) İletişim Verileri</w:t>
      </w:r>
      <w:r>
        <w:t>: Telefon numarası, e-posta adresi, adres (ikametgah) bilgisi.</w:t>
      </w:r>
    </w:p>
    <w:p w14:paraId="7A86384C" w14:textId="02F5E18B" w:rsidR="00236023" w:rsidRDefault="00000000">
      <w:pPr>
        <w:spacing w:before="80" w:after="80"/>
        <w:jc w:val="both"/>
      </w:pPr>
      <w:r>
        <w:rPr>
          <w:b/>
          <w:bCs/>
        </w:rPr>
        <w:t>c) Müşteri İşlem Verileri</w:t>
      </w:r>
      <w:r>
        <w:t xml:space="preserve">: </w:t>
      </w:r>
      <w:r w:rsidR="00BD13FE">
        <w:t>K</w:t>
      </w:r>
      <w:r w:rsidR="00BD13FE" w:rsidRPr="00BD13FE">
        <w:t xml:space="preserve">uyum ticareti </w:t>
      </w:r>
      <w:r>
        <w:t xml:space="preserve">alım-satım işlem bilgileri, işlem tutarı ve </w:t>
      </w:r>
      <w:r w:rsidR="00BD13FE">
        <w:t xml:space="preserve">emtia </w:t>
      </w:r>
      <w:r>
        <w:t>cinsi, işlem tarihi ve saati, müşteri hesap bilgileri, düzenlenen sözleşme bilgileri.</w:t>
      </w:r>
    </w:p>
    <w:p w14:paraId="0A2ABA18" w14:textId="77777777" w:rsidR="00236023" w:rsidRDefault="00000000">
      <w:pPr>
        <w:spacing w:before="80" w:after="80"/>
        <w:jc w:val="both"/>
      </w:pPr>
      <w:r>
        <w:rPr>
          <w:b/>
          <w:bCs/>
        </w:rPr>
        <w:t>d) Hukuki Uyum Verileri</w:t>
      </w:r>
      <w:r>
        <w:t>: Kurumsal müşteriler adına ibraz edilen şirket evrakları (imza sirküleri, ticaret sicili gazetesi, vergi levhası, yetki belgesi vb.), nihai yararlanan sahibi beyanı ve kimlik belgeleri, MASAK mevzuatı kapsamında PEP (siyasi nüfuz sahibi kişi) sorgusuna ilişkin bilgiler.</w:t>
      </w:r>
    </w:p>
    <w:p w14:paraId="2431CF36" w14:textId="2C5E01F3" w:rsidR="00236023" w:rsidRDefault="00000000">
      <w:pPr>
        <w:spacing w:before="80" w:after="80"/>
        <w:jc w:val="both"/>
      </w:pPr>
      <w:r>
        <w:rPr>
          <w:b/>
          <w:bCs/>
        </w:rPr>
        <w:t>e) Görüntü Verisi</w:t>
      </w:r>
      <w:r>
        <w:t>: Şubemizde kurulan kapalı devre kamera kayıt sistemi aracılığıyla elde edilen görüntü kayıtları.</w:t>
      </w:r>
    </w:p>
    <w:p w14:paraId="25E70FB4" w14:textId="77777777" w:rsidR="00236023" w:rsidRDefault="00000000">
      <w:pPr>
        <w:spacing w:before="160" w:after="80"/>
      </w:pPr>
      <w:r>
        <w:rPr>
          <w:b/>
          <w:bCs/>
          <w:sz w:val="26"/>
          <w:szCs w:val="26"/>
        </w:rPr>
        <w:t>3. Kişisel Verilerin İşlenme Amaçları</w:t>
      </w:r>
    </w:p>
    <w:p w14:paraId="2C523200" w14:textId="77777777" w:rsidR="00236023" w:rsidRDefault="00000000">
      <w:pPr>
        <w:spacing w:before="80" w:after="80"/>
        <w:jc w:val="both"/>
      </w:pPr>
      <w:r>
        <w:t>Müşterilerimize ait kişisel veriler aşağıdaki amaçlarla işlenmektedir:</w:t>
      </w:r>
    </w:p>
    <w:p w14:paraId="6854FA05" w14:textId="5E9B0E45" w:rsidR="00236023" w:rsidRPr="00341C67" w:rsidRDefault="00BD13FE">
      <w:pPr>
        <w:pStyle w:val="ListeParagraf"/>
        <w:numPr>
          <w:ilvl w:val="0"/>
          <w:numId w:val="2"/>
        </w:numPr>
        <w:spacing w:before="40" w:after="40"/>
        <w:jc w:val="both"/>
        <w:rPr>
          <w:i/>
          <w:iCs/>
          <w:sz w:val="22"/>
          <w:szCs w:val="22"/>
        </w:rPr>
      </w:pPr>
      <w:r>
        <w:rPr>
          <w:i/>
          <w:iCs/>
          <w:sz w:val="22"/>
          <w:szCs w:val="22"/>
        </w:rPr>
        <w:t>K</w:t>
      </w:r>
      <w:r w:rsidRPr="00BD13FE">
        <w:rPr>
          <w:i/>
          <w:iCs/>
          <w:sz w:val="22"/>
          <w:szCs w:val="22"/>
        </w:rPr>
        <w:t xml:space="preserve">uyum ticareti </w:t>
      </w:r>
      <w:r w:rsidR="00000000">
        <w:rPr>
          <w:i/>
          <w:iCs/>
          <w:sz w:val="22"/>
          <w:szCs w:val="22"/>
        </w:rPr>
        <w:t>alım-satım ve ilgili finansal hizmetlere ilişkin sözleşme süreçlerinin yürütülmesi,</w:t>
      </w:r>
    </w:p>
    <w:p w14:paraId="1F0891B9" w14:textId="438A3C63" w:rsidR="00236023" w:rsidRPr="00341C67" w:rsidRDefault="00000000">
      <w:pPr>
        <w:pStyle w:val="ListeParagraf"/>
        <w:numPr>
          <w:ilvl w:val="0"/>
          <w:numId w:val="2"/>
        </w:numPr>
        <w:spacing w:before="40" w:after="40"/>
        <w:jc w:val="both"/>
        <w:rPr>
          <w:i/>
          <w:iCs/>
          <w:sz w:val="22"/>
          <w:szCs w:val="22"/>
        </w:rPr>
      </w:pPr>
      <w:r>
        <w:rPr>
          <w:i/>
          <w:iCs/>
          <w:sz w:val="22"/>
          <w:szCs w:val="22"/>
        </w:rPr>
        <w:t>Müşteri kimliğinin tespiti, müşteri tanıma yükümlülüklerinin yerine getirilmesi,</w:t>
      </w:r>
    </w:p>
    <w:p w14:paraId="26CB1C02" w14:textId="77777777" w:rsidR="00236023" w:rsidRPr="00341C67" w:rsidRDefault="00000000">
      <w:pPr>
        <w:pStyle w:val="ListeParagraf"/>
        <w:numPr>
          <w:ilvl w:val="0"/>
          <w:numId w:val="2"/>
        </w:numPr>
        <w:spacing w:before="40" w:after="40"/>
        <w:jc w:val="both"/>
        <w:rPr>
          <w:i/>
          <w:iCs/>
          <w:sz w:val="22"/>
          <w:szCs w:val="22"/>
        </w:rPr>
      </w:pPr>
      <w:r>
        <w:rPr>
          <w:i/>
          <w:iCs/>
          <w:sz w:val="22"/>
          <w:szCs w:val="22"/>
        </w:rPr>
        <w:t>5549 sayılı Suç Gelirlerinin Aklanmasının Önlenmesi Hakkında Kanun, Mali Suçları Araştırma Kurulu (MASAK) Yönetmelikleri ve ilgili ikincil mevzuat kapsamındaki şüpheli işlem bildirimi, kimlik tespiti ve süregelen izleme yükümlülüklerinin karşılanması,</w:t>
      </w:r>
    </w:p>
    <w:p w14:paraId="58FE3C3C" w14:textId="695167C8" w:rsidR="00236023" w:rsidRPr="00341C67" w:rsidRDefault="00000000">
      <w:pPr>
        <w:pStyle w:val="ListeParagraf"/>
        <w:numPr>
          <w:ilvl w:val="0"/>
          <w:numId w:val="2"/>
        </w:numPr>
        <w:spacing w:before="40" w:after="40"/>
        <w:jc w:val="both"/>
        <w:rPr>
          <w:i/>
          <w:iCs/>
          <w:sz w:val="22"/>
          <w:szCs w:val="22"/>
        </w:rPr>
      </w:pPr>
      <w:r>
        <w:rPr>
          <w:i/>
          <w:iCs/>
          <w:sz w:val="22"/>
          <w:szCs w:val="22"/>
        </w:rPr>
        <w:t>T.C. Merkez Bankası düzenlemeleri ve kambiyo mevzuatından doğan yükümlülüklerin yerine getirilmesi,</w:t>
      </w:r>
    </w:p>
    <w:p w14:paraId="2C59BCE3" w14:textId="77777777" w:rsidR="00236023" w:rsidRPr="00341C67" w:rsidRDefault="00000000">
      <w:pPr>
        <w:pStyle w:val="ListeParagraf"/>
        <w:numPr>
          <w:ilvl w:val="0"/>
          <w:numId w:val="2"/>
        </w:numPr>
        <w:spacing w:before="40" w:after="40"/>
        <w:jc w:val="both"/>
        <w:rPr>
          <w:i/>
          <w:iCs/>
          <w:sz w:val="22"/>
          <w:szCs w:val="22"/>
        </w:rPr>
      </w:pPr>
      <w:r>
        <w:rPr>
          <w:i/>
          <w:iCs/>
          <w:sz w:val="22"/>
          <w:szCs w:val="22"/>
        </w:rPr>
        <w:t>Vergi Usul Kanunu, Türk Ticaret Kanunu ve sair mali mevzuat kapsamındaki belge düzenleme ve arşivleme yükümlülüklerinin ifası,</w:t>
      </w:r>
    </w:p>
    <w:p w14:paraId="09B02A4F" w14:textId="77777777" w:rsidR="00236023" w:rsidRPr="00341C67" w:rsidRDefault="00000000">
      <w:pPr>
        <w:pStyle w:val="ListeParagraf"/>
        <w:numPr>
          <w:ilvl w:val="0"/>
          <w:numId w:val="2"/>
        </w:numPr>
        <w:spacing w:before="40" w:after="40"/>
        <w:jc w:val="both"/>
        <w:rPr>
          <w:i/>
          <w:iCs/>
          <w:sz w:val="22"/>
          <w:szCs w:val="22"/>
        </w:rPr>
      </w:pPr>
      <w:r>
        <w:rPr>
          <w:i/>
          <w:iCs/>
          <w:sz w:val="22"/>
          <w:szCs w:val="22"/>
        </w:rPr>
        <w:t>Olası hukuki uyuşmazlıklarda ispat yükümlülüğünün yerine getirilmesi ve Şirketin meşru menfaatlerinin korunması,</w:t>
      </w:r>
    </w:p>
    <w:p w14:paraId="4653C402" w14:textId="77777777" w:rsidR="00236023" w:rsidRPr="00341C67" w:rsidRDefault="00000000">
      <w:pPr>
        <w:pStyle w:val="ListeParagraf"/>
        <w:numPr>
          <w:ilvl w:val="0"/>
          <w:numId w:val="2"/>
        </w:numPr>
        <w:spacing w:before="40" w:after="40"/>
        <w:jc w:val="both"/>
        <w:rPr>
          <w:i/>
          <w:iCs/>
          <w:sz w:val="22"/>
          <w:szCs w:val="22"/>
        </w:rPr>
      </w:pPr>
      <w:r>
        <w:rPr>
          <w:i/>
          <w:iCs/>
          <w:sz w:val="22"/>
          <w:szCs w:val="22"/>
        </w:rPr>
        <w:t>Yetkili kamu kurum ve kuruluşları ile denetim merciilerinin taleplerinin karşılanması,</w:t>
      </w:r>
    </w:p>
    <w:p w14:paraId="16935A1E" w14:textId="77777777" w:rsidR="00236023" w:rsidRPr="00341C67" w:rsidRDefault="00000000">
      <w:pPr>
        <w:pStyle w:val="ListeParagraf"/>
        <w:numPr>
          <w:ilvl w:val="0"/>
          <w:numId w:val="2"/>
        </w:numPr>
        <w:spacing w:before="40" w:after="40"/>
        <w:jc w:val="both"/>
        <w:rPr>
          <w:i/>
          <w:iCs/>
          <w:sz w:val="22"/>
          <w:szCs w:val="22"/>
        </w:rPr>
      </w:pPr>
      <w:r>
        <w:rPr>
          <w:i/>
          <w:iCs/>
          <w:sz w:val="22"/>
          <w:szCs w:val="22"/>
        </w:rPr>
        <w:lastRenderedPageBreak/>
        <w:t>Kurumsal müşterilere ait yetki belgelerinin ve şirket evraklarının doğrulanması.</w:t>
      </w:r>
    </w:p>
    <w:p w14:paraId="2DF4FF20" w14:textId="77777777" w:rsidR="00236023" w:rsidRDefault="00000000">
      <w:pPr>
        <w:spacing w:before="160" w:after="80"/>
      </w:pPr>
      <w:r>
        <w:rPr>
          <w:b/>
          <w:bCs/>
          <w:sz w:val="26"/>
          <w:szCs w:val="26"/>
        </w:rPr>
        <w:t>4. Kişisel Verilerin İşlenmesinin Hukuki Dayanakları</w:t>
      </w:r>
    </w:p>
    <w:p w14:paraId="2AEC3A61" w14:textId="77777777" w:rsidR="00236023" w:rsidRDefault="00000000">
      <w:pPr>
        <w:spacing w:before="80" w:after="80"/>
        <w:jc w:val="both"/>
      </w:pPr>
      <w:r>
        <w:t>Müşteri kişisel verileri, KVKK kapsamında aşağıdaki hukuki dayanaklara göre işlenmektedir:</w:t>
      </w:r>
    </w:p>
    <w:p w14:paraId="43886737" w14:textId="7CC589A5" w:rsidR="00236023" w:rsidRPr="00341C67" w:rsidRDefault="00000000">
      <w:pPr>
        <w:pStyle w:val="ListeParagraf"/>
        <w:numPr>
          <w:ilvl w:val="0"/>
          <w:numId w:val="2"/>
        </w:numPr>
        <w:spacing w:before="40" w:after="40"/>
        <w:jc w:val="both"/>
        <w:rPr>
          <w:i/>
          <w:iCs/>
          <w:sz w:val="22"/>
          <w:szCs w:val="22"/>
        </w:rPr>
      </w:pPr>
      <w:r>
        <w:rPr>
          <w:i/>
          <w:iCs/>
          <w:sz w:val="22"/>
          <w:szCs w:val="22"/>
        </w:rPr>
        <w:t>KVKK Madde 5/2-a: Kanunlarda açıkça öngörülmesi 5549 sayılı Kanun, TCMB Yönetmelikleri, VUK, TTK ve ilgili MASAK düzenlemelerinden doğan müşteri kimlik tespiti, kayıt tutma ve saklama yükümlülükleri.</w:t>
      </w:r>
    </w:p>
    <w:p w14:paraId="62EC89DC" w14:textId="5196CB02" w:rsidR="00236023" w:rsidRPr="00341C67" w:rsidRDefault="00000000">
      <w:pPr>
        <w:pStyle w:val="ListeParagraf"/>
        <w:numPr>
          <w:ilvl w:val="0"/>
          <w:numId w:val="2"/>
        </w:numPr>
        <w:spacing w:before="40" w:after="40"/>
        <w:jc w:val="both"/>
        <w:rPr>
          <w:i/>
          <w:iCs/>
          <w:sz w:val="22"/>
          <w:szCs w:val="22"/>
        </w:rPr>
      </w:pPr>
      <w:r>
        <w:rPr>
          <w:i/>
          <w:iCs/>
          <w:sz w:val="22"/>
          <w:szCs w:val="22"/>
        </w:rPr>
        <w:t xml:space="preserve">KVKK Madde 5/2-c: Sözleşmenin kurulması veya ifasıyla doğrudan ilgili olması — </w:t>
      </w:r>
      <w:r w:rsidR="00BD13FE" w:rsidRPr="00BD13FE">
        <w:rPr>
          <w:i/>
          <w:iCs/>
          <w:sz w:val="22"/>
          <w:szCs w:val="22"/>
        </w:rPr>
        <w:t xml:space="preserve">kuyum ticareti </w:t>
      </w:r>
      <w:r>
        <w:rPr>
          <w:i/>
          <w:iCs/>
          <w:sz w:val="22"/>
          <w:szCs w:val="22"/>
        </w:rPr>
        <w:t>alım-satım sözleşmelerinin kurulması ve ifası kapsamında zorunlu olan kişisel veri işleme faaliyetleri.</w:t>
      </w:r>
    </w:p>
    <w:p w14:paraId="2771B7CE" w14:textId="77777777" w:rsidR="00236023" w:rsidRPr="00341C67" w:rsidRDefault="00000000">
      <w:pPr>
        <w:pStyle w:val="ListeParagraf"/>
        <w:numPr>
          <w:ilvl w:val="0"/>
          <w:numId w:val="2"/>
        </w:numPr>
        <w:spacing w:before="40" w:after="40"/>
        <w:jc w:val="both"/>
        <w:rPr>
          <w:i/>
          <w:iCs/>
          <w:sz w:val="22"/>
          <w:szCs w:val="22"/>
        </w:rPr>
      </w:pPr>
      <w:r>
        <w:rPr>
          <w:i/>
          <w:iCs/>
          <w:sz w:val="22"/>
          <w:szCs w:val="22"/>
        </w:rPr>
        <w:t>KVKK Madde 5/2-ç: Veri sorumlusunun hukuki yükümlülüğünü yerine getirebilmesi — kambiyo mevzuatı, vergi mevzuatı ve MASAK bildirimleri.</w:t>
      </w:r>
    </w:p>
    <w:p w14:paraId="50A52F7A" w14:textId="77777777" w:rsidR="00236023" w:rsidRPr="00341C67" w:rsidRDefault="00000000">
      <w:pPr>
        <w:pStyle w:val="ListeParagraf"/>
        <w:numPr>
          <w:ilvl w:val="0"/>
          <w:numId w:val="2"/>
        </w:numPr>
        <w:spacing w:before="40" w:after="40"/>
        <w:jc w:val="both"/>
        <w:rPr>
          <w:i/>
          <w:iCs/>
          <w:sz w:val="22"/>
          <w:szCs w:val="22"/>
        </w:rPr>
      </w:pPr>
      <w:r>
        <w:rPr>
          <w:i/>
          <w:iCs/>
          <w:sz w:val="22"/>
          <w:szCs w:val="22"/>
        </w:rPr>
        <w:t>KVKK Madde 5/2-f: Veri sorumlusunun meşru menfaatleri — temel hak ve özgürlüklere zarar vermemek kaydıyla hukuki uyuşmazlıklara karşı korunma ve Şirket güvenliğinin sağlanması.</w:t>
      </w:r>
    </w:p>
    <w:p w14:paraId="6C1B4CC2" w14:textId="77777777" w:rsidR="00236023" w:rsidRDefault="00000000">
      <w:pPr>
        <w:spacing w:before="160" w:after="80"/>
      </w:pPr>
      <w:r>
        <w:rPr>
          <w:b/>
          <w:bCs/>
          <w:sz w:val="26"/>
          <w:szCs w:val="26"/>
        </w:rPr>
        <w:t>5. Kişisel Verilerin Aktarılması</w:t>
      </w:r>
    </w:p>
    <w:p w14:paraId="6E5CAED4" w14:textId="77777777" w:rsidR="00236023" w:rsidRDefault="00000000">
      <w:pPr>
        <w:spacing w:before="80" w:after="80"/>
        <w:jc w:val="both"/>
      </w:pPr>
      <w:r>
        <w:t>Müşteri kişisel verileri aşağıda belirtilen alıcı gruplarıyla ilgili hukuki dayanak çerçevesinde paylaşılabilmektedir:</w:t>
      </w:r>
    </w:p>
    <w:p w14:paraId="74ABDAB2" w14:textId="77777777" w:rsidR="00236023" w:rsidRPr="00341C67" w:rsidRDefault="00000000">
      <w:pPr>
        <w:pStyle w:val="ListeParagraf"/>
        <w:numPr>
          <w:ilvl w:val="0"/>
          <w:numId w:val="2"/>
        </w:numPr>
        <w:spacing w:before="40" w:after="40"/>
        <w:jc w:val="both"/>
        <w:rPr>
          <w:i/>
          <w:iCs/>
          <w:sz w:val="22"/>
          <w:szCs w:val="22"/>
        </w:rPr>
      </w:pPr>
      <w:r>
        <w:rPr>
          <w:i/>
          <w:iCs/>
          <w:sz w:val="22"/>
          <w:szCs w:val="22"/>
        </w:rPr>
        <w:t>MASAK, BDDK, TCMB, Hazine ve Maliye Bakanlığı, vergi daireleri ve sair yetkili kamu kurum ve kuruluşları: Yasal bildirim yükümlülükleri çerçevesinde,</w:t>
      </w:r>
    </w:p>
    <w:p w14:paraId="7FF1DD37" w14:textId="77777777" w:rsidR="00236023" w:rsidRPr="00341C67" w:rsidRDefault="00000000">
      <w:pPr>
        <w:pStyle w:val="ListeParagraf"/>
        <w:numPr>
          <w:ilvl w:val="0"/>
          <w:numId w:val="2"/>
        </w:numPr>
        <w:spacing w:before="40" w:after="40"/>
        <w:jc w:val="both"/>
        <w:rPr>
          <w:i/>
          <w:iCs/>
          <w:sz w:val="22"/>
          <w:szCs w:val="22"/>
        </w:rPr>
      </w:pPr>
      <w:r>
        <w:rPr>
          <w:i/>
          <w:iCs/>
          <w:sz w:val="22"/>
          <w:szCs w:val="22"/>
        </w:rPr>
        <w:t>Yargı mercileri ve kolluk kuvvetleri: Mahkeme kararı veya yasal zorunluluk kapsamında,</w:t>
      </w:r>
    </w:p>
    <w:p w14:paraId="7CC07F3D" w14:textId="77777777" w:rsidR="00236023" w:rsidRPr="00341C67" w:rsidRDefault="00000000">
      <w:pPr>
        <w:pStyle w:val="ListeParagraf"/>
        <w:numPr>
          <w:ilvl w:val="0"/>
          <w:numId w:val="2"/>
        </w:numPr>
        <w:spacing w:before="40" w:after="40"/>
        <w:jc w:val="both"/>
        <w:rPr>
          <w:i/>
          <w:iCs/>
          <w:sz w:val="22"/>
          <w:szCs w:val="22"/>
        </w:rPr>
      </w:pPr>
      <w:r>
        <w:rPr>
          <w:i/>
          <w:iCs/>
          <w:sz w:val="22"/>
          <w:szCs w:val="22"/>
        </w:rPr>
        <w:t>Bağımsız denetçiler ve mali müşavirler: Denetim faaliyetleri kapsamında ve yalnızca gerekli ölçüde,</w:t>
      </w:r>
    </w:p>
    <w:p w14:paraId="7FDE3587" w14:textId="77777777" w:rsidR="00236023" w:rsidRPr="00341C67" w:rsidRDefault="00000000">
      <w:pPr>
        <w:pStyle w:val="ListeParagraf"/>
        <w:numPr>
          <w:ilvl w:val="0"/>
          <w:numId w:val="2"/>
        </w:numPr>
        <w:spacing w:before="40" w:after="40"/>
        <w:jc w:val="both"/>
        <w:rPr>
          <w:i/>
          <w:iCs/>
          <w:sz w:val="22"/>
          <w:szCs w:val="22"/>
        </w:rPr>
      </w:pPr>
      <w:r>
        <w:rPr>
          <w:i/>
          <w:iCs/>
          <w:sz w:val="22"/>
          <w:szCs w:val="22"/>
        </w:rPr>
        <w:t>Grup şirketleri ve iş ortakları: KVKK'nın 8 ve 9. maddeleri kapsamındaki şartların sağlanması koşuluyla ve bu aydınlatma metninin güncellenmiş versiyonlarında belirtilmek suretiyle.</w:t>
      </w:r>
    </w:p>
    <w:p w14:paraId="0AB86B51" w14:textId="77777777" w:rsidR="00236023" w:rsidRDefault="00000000">
      <w:pPr>
        <w:spacing w:before="160" w:after="80"/>
      </w:pPr>
      <w:r>
        <w:rPr>
          <w:b/>
          <w:bCs/>
          <w:sz w:val="26"/>
          <w:szCs w:val="26"/>
        </w:rPr>
        <w:t>6. Kişisel Verilerin Saklanma Süresi</w:t>
      </w:r>
    </w:p>
    <w:p w14:paraId="5FF9ABDC" w14:textId="77777777" w:rsidR="00236023" w:rsidRDefault="00000000">
      <w:pPr>
        <w:spacing w:before="80" w:after="80"/>
        <w:jc w:val="both"/>
      </w:pPr>
      <w:r>
        <w:t>Müşteri kişisel verileri, yasal saklama sürelerine uygun olarak aşağıdaki süreler boyunca muhafaza edilmektedir:</w:t>
      </w:r>
    </w:p>
    <w:p w14:paraId="084301EC" w14:textId="77777777" w:rsidR="00236023" w:rsidRPr="00341C67" w:rsidRDefault="00000000">
      <w:pPr>
        <w:pStyle w:val="ListeParagraf"/>
        <w:numPr>
          <w:ilvl w:val="0"/>
          <w:numId w:val="2"/>
        </w:numPr>
        <w:spacing w:before="40" w:after="40"/>
        <w:jc w:val="both"/>
        <w:rPr>
          <w:i/>
          <w:iCs/>
          <w:sz w:val="22"/>
          <w:szCs w:val="22"/>
        </w:rPr>
      </w:pPr>
      <w:r>
        <w:rPr>
          <w:i/>
          <w:iCs/>
          <w:sz w:val="22"/>
          <w:szCs w:val="22"/>
        </w:rPr>
        <w:t>5549 sayılı Kanun ve MASAK düzenlemeleri kapsamında: İşlem tarihinden itibaren en az 8 (sekiz) yıl,</w:t>
      </w:r>
    </w:p>
    <w:p w14:paraId="0DAD7CE6" w14:textId="77777777" w:rsidR="00236023" w:rsidRPr="00341C67" w:rsidRDefault="00000000">
      <w:pPr>
        <w:pStyle w:val="ListeParagraf"/>
        <w:numPr>
          <w:ilvl w:val="0"/>
          <w:numId w:val="2"/>
        </w:numPr>
        <w:spacing w:before="40" w:after="40"/>
        <w:jc w:val="both"/>
        <w:rPr>
          <w:i/>
          <w:iCs/>
          <w:sz w:val="22"/>
          <w:szCs w:val="22"/>
        </w:rPr>
      </w:pPr>
      <w:r>
        <w:rPr>
          <w:i/>
          <w:iCs/>
          <w:sz w:val="22"/>
          <w:szCs w:val="22"/>
        </w:rPr>
        <w:t>VUK kapsamındaki mali kayıtlar: 5 (beş) yıl,</w:t>
      </w:r>
    </w:p>
    <w:p w14:paraId="539D45F1" w14:textId="77777777" w:rsidR="00236023" w:rsidRPr="00341C67" w:rsidRDefault="00000000">
      <w:pPr>
        <w:pStyle w:val="ListeParagraf"/>
        <w:numPr>
          <w:ilvl w:val="0"/>
          <w:numId w:val="2"/>
        </w:numPr>
        <w:spacing w:before="40" w:after="40"/>
        <w:jc w:val="both"/>
        <w:rPr>
          <w:i/>
          <w:iCs/>
          <w:sz w:val="22"/>
          <w:szCs w:val="22"/>
        </w:rPr>
      </w:pPr>
      <w:r>
        <w:rPr>
          <w:i/>
          <w:iCs/>
          <w:sz w:val="22"/>
          <w:szCs w:val="22"/>
        </w:rPr>
        <w:t>TTK kapsamındaki ticari belgeler: 10 (on) yıl,</w:t>
      </w:r>
    </w:p>
    <w:p w14:paraId="539105D7" w14:textId="77777777" w:rsidR="00236023" w:rsidRPr="00341C67" w:rsidRDefault="00000000">
      <w:pPr>
        <w:pStyle w:val="ListeParagraf"/>
        <w:numPr>
          <w:ilvl w:val="0"/>
          <w:numId w:val="2"/>
        </w:numPr>
        <w:spacing w:before="40" w:after="40"/>
        <w:jc w:val="both"/>
        <w:rPr>
          <w:i/>
          <w:iCs/>
          <w:sz w:val="22"/>
          <w:szCs w:val="22"/>
        </w:rPr>
      </w:pPr>
      <w:r>
        <w:rPr>
          <w:i/>
          <w:iCs/>
          <w:sz w:val="22"/>
          <w:szCs w:val="22"/>
        </w:rPr>
        <w:t>Sözleşme belgeleri ve ikametgah kayıtları: Sözleşmenin sona ermesinden itibaren 10 (on) yıl (Borçlar Kanunu genel zamanaşımı).</w:t>
      </w:r>
    </w:p>
    <w:p w14:paraId="7D99FA65" w14:textId="77777777" w:rsidR="00236023" w:rsidRDefault="00000000">
      <w:pPr>
        <w:spacing w:before="80" w:after="80"/>
        <w:jc w:val="both"/>
      </w:pPr>
      <w:r>
        <w:t>Saklama sürelerinin sona ermesi veya işlenme amacının ortadan kalkması halinde kişisel verileriniz silinmekte, yok edilmekte ya da anonim hale getirilmektedir.</w:t>
      </w:r>
    </w:p>
    <w:p w14:paraId="1727E71C" w14:textId="77777777" w:rsidR="00236023" w:rsidRDefault="00000000">
      <w:pPr>
        <w:spacing w:before="160" w:after="80"/>
      </w:pPr>
      <w:r>
        <w:rPr>
          <w:b/>
          <w:bCs/>
          <w:sz w:val="26"/>
          <w:szCs w:val="26"/>
        </w:rPr>
        <w:t>7. Özel Nitelikli Kişisel Veriler</w:t>
      </w:r>
    </w:p>
    <w:p w14:paraId="70D9DEBB" w14:textId="77777777" w:rsidR="00236023" w:rsidRDefault="00000000">
      <w:pPr>
        <w:spacing w:before="80" w:after="80"/>
        <w:jc w:val="both"/>
      </w:pPr>
      <w:r>
        <w:t>5549 sayılı Kanun kapsamındaki PEP (Politically Exposed Person) sorgulaması ya da benzer risk değerlendirme süreçleri kapsamında, KVKK Madde 6 anlamında özel nitelikli kişisel veri sayılabilecek bilgiler yalnızca kanunen öngörülen ölçüde ve zorunlu hallerde işlenmekte; bu verilerin güvenliği KVKK Madde 12 ve Kişisel Verileri Koruma Kurulunun belirlediği yeterli önlemler alınmak suretiyle sağlanmaktadır.</w:t>
      </w:r>
    </w:p>
    <w:p w14:paraId="7142A9A9" w14:textId="77777777" w:rsidR="00236023" w:rsidRDefault="00000000">
      <w:pPr>
        <w:spacing w:before="160" w:after="80"/>
      </w:pPr>
      <w:r>
        <w:rPr>
          <w:b/>
          <w:bCs/>
          <w:sz w:val="26"/>
          <w:szCs w:val="26"/>
        </w:rPr>
        <w:t>8. Veri Güvenliği</w:t>
      </w:r>
    </w:p>
    <w:p w14:paraId="2573B0CE" w14:textId="77777777" w:rsidR="00236023" w:rsidRDefault="00000000">
      <w:pPr>
        <w:spacing w:before="80" w:after="80"/>
        <w:jc w:val="both"/>
      </w:pPr>
      <w:r>
        <w:t>Şirketimiz, KVKK'nın 12. maddesi uyarınca kişisel verilerinizin hukuka aykırı olarak işlenmesini önlemeye, verilerinize hukuka aykırı olarak erişilmesini engellemeye ve verilerinizin muhafazasını sağlamaya yönelik uygun teknik ve idari tedbirleri almaktadır. Bu kapsamda müşteri bilgileri yalnızca yetkili personel tarafından ve yetkili sistemler üzerinden erişilebilir kılınmakta; veri işleme faaliyetleri Şirketin iç politikaları ve Kişisel Verilerin İşlenmesi ve Korunması Politikası çerçevesinde yürütülmektedir.</w:t>
      </w:r>
    </w:p>
    <w:p w14:paraId="6252A4C7" w14:textId="77777777" w:rsidR="00236023" w:rsidRDefault="00000000">
      <w:pPr>
        <w:spacing w:before="160" w:after="80"/>
      </w:pPr>
      <w:r>
        <w:rPr>
          <w:b/>
          <w:bCs/>
          <w:sz w:val="26"/>
          <w:szCs w:val="26"/>
        </w:rPr>
        <w:lastRenderedPageBreak/>
        <w:t>9. Veri Sahiplerinin Hakları</w:t>
      </w:r>
    </w:p>
    <w:p w14:paraId="17884D3F" w14:textId="77777777" w:rsidR="00236023" w:rsidRDefault="00000000">
      <w:pPr>
        <w:spacing w:before="80" w:after="80"/>
        <w:jc w:val="both"/>
      </w:pPr>
      <w:r>
        <w:t>KVKK'nın 11. maddesi uyarınca, müşterilerimiz aşağıdaki haklara sahiptir:</w:t>
      </w:r>
    </w:p>
    <w:p w14:paraId="63083364" w14:textId="77777777" w:rsidR="00236023" w:rsidRPr="00341C67" w:rsidRDefault="00000000">
      <w:pPr>
        <w:pStyle w:val="ListeParagraf"/>
        <w:numPr>
          <w:ilvl w:val="0"/>
          <w:numId w:val="2"/>
        </w:numPr>
        <w:spacing w:before="40" w:after="40"/>
        <w:jc w:val="both"/>
        <w:rPr>
          <w:i/>
          <w:iCs/>
          <w:sz w:val="22"/>
          <w:szCs w:val="22"/>
        </w:rPr>
      </w:pPr>
      <w:r>
        <w:rPr>
          <w:i/>
          <w:iCs/>
          <w:sz w:val="22"/>
          <w:szCs w:val="22"/>
        </w:rPr>
        <w:t>Kişisel verilerinin işlenip işlenmediğini öğrenme,</w:t>
      </w:r>
    </w:p>
    <w:p w14:paraId="4CA8646F" w14:textId="77777777" w:rsidR="00236023" w:rsidRPr="00341C67" w:rsidRDefault="00000000">
      <w:pPr>
        <w:pStyle w:val="ListeParagraf"/>
        <w:numPr>
          <w:ilvl w:val="0"/>
          <w:numId w:val="2"/>
        </w:numPr>
        <w:spacing w:before="40" w:after="40"/>
        <w:jc w:val="both"/>
        <w:rPr>
          <w:i/>
          <w:iCs/>
          <w:sz w:val="22"/>
          <w:szCs w:val="22"/>
        </w:rPr>
      </w:pPr>
      <w:r>
        <w:rPr>
          <w:i/>
          <w:iCs/>
          <w:sz w:val="22"/>
          <w:szCs w:val="22"/>
        </w:rPr>
        <w:t>İşlenmişse buna ilişkin bilgi talep etme,</w:t>
      </w:r>
    </w:p>
    <w:p w14:paraId="7321DFBF" w14:textId="77777777" w:rsidR="00236023" w:rsidRPr="00341C67" w:rsidRDefault="00000000">
      <w:pPr>
        <w:pStyle w:val="ListeParagraf"/>
        <w:numPr>
          <w:ilvl w:val="0"/>
          <w:numId w:val="2"/>
        </w:numPr>
        <w:spacing w:before="40" w:after="40"/>
        <w:jc w:val="both"/>
        <w:rPr>
          <w:i/>
          <w:iCs/>
          <w:sz w:val="22"/>
          <w:szCs w:val="22"/>
        </w:rPr>
      </w:pPr>
      <w:r>
        <w:rPr>
          <w:i/>
          <w:iCs/>
          <w:sz w:val="22"/>
          <w:szCs w:val="22"/>
        </w:rPr>
        <w:t>İşlenme amacını ve amacına uygun kullanılıp kullanılmadığını öğrenme,</w:t>
      </w:r>
    </w:p>
    <w:p w14:paraId="75919207" w14:textId="77777777" w:rsidR="00236023" w:rsidRPr="00341C67" w:rsidRDefault="00000000">
      <w:pPr>
        <w:pStyle w:val="ListeParagraf"/>
        <w:numPr>
          <w:ilvl w:val="0"/>
          <w:numId w:val="2"/>
        </w:numPr>
        <w:spacing w:before="40" w:after="40"/>
        <w:jc w:val="both"/>
        <w:rPr>
          <w:i/>
          <w:iCs/>
          <w:sz w:val="22"/>
          <w:szCs w:val="22"/>
        </w:rPr>
      </w:pPr>
      <w:r>
        <w:rPr>
          <w:i/>
          <w:iCs/>
          <w:sz w:val="22"/>
          <w:szCs w:val="22"/>
        </w:rPr>
        <w:t>Yurt içinde veya yurt dışında aktarıldığı üçüncü kişileri öğrenme,</w:t>
      </w:r>
    </w:p>
    <w:p w14:paraId="6C9C0941" w14:textId="77777777" w:rsidR="00236023" w:rsidRPr="00341C67" w:rsidRDefault="00000000">
      <w:pPr>
        <w:pStyle w:val="ListeParagraf"/>
        <w:numPr>
          <w:ilvl w:val="0"/>
          <w:numId w:val="2"/>
        </w:numPr>
        <w:spacing w:before="40" w:after="40"/>
        <w:jc w:val="both"/>
        <w:rPr>
          <w:i/>
          <w:iCs/>
          <w:sz w:val="22"/>
          <w:szCs w:val="22"/>
        </w:rPr>
      </w:pPr>
      <w:r>
        <w:rPr>
          <w:i/>
          <w:iCs/>
          <w:sz w:val="22"/>
          <w:szCs w:val="22"/>
        </w:rPr>
        <w:t>Eksik veya yanlış işlenmiş verilerin düzeltilmesini isteme,</w:t>
      </w:r>
    </w:p>
    <w:p w14:paraId="391C066A" w14:textId="77777777" w:rsidR="00236023" w:rsidRPr="00341C67" w:rsidRDefault="00000000">
      <w:pPr>
        <w:pStyle w:val="ListeParagraf"/>
        <w:numPr>
          <w:ilvl w:val="0"/>
          <w:numId w:val="2"/>
        </w:numPr>
        <w:spacing w:before="40" w:after="40"/>
        <w:jc w:val="both"/>
        <w:rPr>
          <w:i/>
          <w:iCs/>
          <w:sz w:val="22"/>
          <w:szCs w:val="22"/>
        </w:rPr>
      </w:pPr>
      <w:r>
        <w:rPr>
          <w:i/>
          <w:iCs/>
          <w:sz w:val="22"/>
          <w:szCs w:val="22"/>
        </w:rPr>
        <w:t>KVKK'nın 7. maddesinde öngörülen şartlar çerçevesinde silinmesini veya yok edilmesini isteme,</w:t>
      </w:r>
    </w:p>
    <w:p w14:paraId="032ED778" w14:textId="77777777" w:rsidR="00236023" w:rsidRPr="00341C67" w:rsidRDefault="00000000">
      <w:pPr>
        <w:pStyle w:val="ListeParagraf"/>
        <w:numPr>
          <w:ilvl w:val="0"/>
          <w:numId w:val="2"/>
        </w:numPr>
        <w:spacing w:before="40" w:after="40"/>
        <w:jc w:val="both"/>
        <w:rPr>
          <w:i/>
          <w:iCs/>
          <w:sz w:val="22"/>
          <w:szCs w:val="22"/>
        </w:rPr>
      </w:pPr>
      <w:r>
        <w:rPr>
          <w:i/>
          <w:iCs/>
          <w:sz w:val="22"/>
          <w:szCs w:val="22"/>
        </w:rPr>
        <w:t>Aktarıldığı üçüncü kişilere yukarıdaki işlemlerin bildirilmesini isteme,</w:t>
      </w:r>
    </w:p>
    <w:p w14:paraId="370CCA98" w14:textId="77777777" w:rsidR="00236023" w:rsidRPr="00341C67" w:rsidRDefault="00000000">
      <w:pPr>
        <w:pStyle w:val="ListeParagraf"/>
        <w:numPr>
          <w:ilvl w:val="0"/>
          <w:numId w:val="2"/>
        </w:numPr>
        <w:spacing w:before="40" w:after="40"/>
        <w:jc w:val="both"/>
        <w:rPr>
          <w:i/>
          <w:iCs/>
          <w:sz w:val="22"/>
          <w:szCs w:val="22"/>
        </w:rPr>
      </w:pPr>
      <w:r>
        <w:rPr>
          <w:i/>
          <w:iCs/>
          <w:sz w:val="22"/>
          <w:szCs w:val="22"/>
        </w:rPr>
        <w:t>İşlenen verilerin münhasıran otomatik sistemler vasıtasıyla analiz edilmesi suretiyle aleyhine bir sonuç ortaya çıkmasına itiraz etme,</w:t>
      </w:r>
    </w:p>
    <w:p w14:paraId="00C50550" w14:textId="77777777" w:rsidR="00236023" w:rsidRPr="00341C67" w:rsidRDefault="00000000">
      <w:pPr>
        <w:pStyle w:val="ListeParagraf"/>
        <w:numPr>
          <w:ilvl w:val="0"/>
          <w:numId w:val="2"/>
        </w:numPr>
        <w:spacing w:before="40" w:after="40"/>
        <w:jc w:val="both"/>
        <w:rPr>
          <w:i/>
          <w:iCs/>
          <w:sz w:val="22"/>
          <w:szCs w:val="22"/>
        </w:rPr>
      </w:pPr>
      <w:r>
        <w:rPr>
          <w:i/>
          <w:iCs/>
          <w:sz w:val="22"/>
          <w:szCs w:val="22"/>
        </w:rPr>
        <w:t>Kanuna aykırı işlenmesi sebebiyle zarara uğranılması halinde zararın giderilmesini talep etme.</w:t>
      </w:r>
    </w:p>
    <w:p w14:paraId="21697B3F" w14:textId="77777777" w:rsidR="00236023" w:rsidRDefault="00000000">
      <w:pPr>
        <w:spacing w:before="80" w:after="80"/>
        <w:jc w:val="both"/>
      </w:pPr>
      <w:r>
        <w:t>Belirtmek gerekir ki, 5549 sayılı Kanun kapsamında zorunlu tutulan müşteri kimlik tespiti ve işlem kayıtlarına ilişkin veriler bakımından yasal saklama süreleri dolmadan silinme veya yok edilme talebi karşılanamaz; bu husus KVKK'nın 7. maddesi kapsamında yasal bir istisna teşkil etmektedir.</w:t>
      </w:r>
    </w:p>
    <w:p w14:paraId="66A9E7AB" w14:textId="77777777" w:rsidR="00236023" w:rsidRDefault="00000000">
      <w:pPr>
        <w:spacing w:before="160" w:after="80"/>
      </w:pPr>
      <w:r>
        <w:rPr>
          <w:b/>
          <w:bCs/>
          <w:sz w:val="26"/>
          <w:szCs w:val="26"/>
        </w:rPr>
        <w:t>10. Başvuru Yöntemi</w:t>
      </w:r>
    </w:p>
    <w:p w14:paraId="1F2970EA" w14:textId="77777777" w:rsidR="00236023" w:rsidRDefault="00000000">
      <w:pPr>
        <w:spacing w:before="80" w:after="80"/>
        <w:jc w:val="both"/>
      </w:pPr>
      <w:r>
        <w:t>Yukarıda belirtilen haklarınızı kullanmaya yönelik başvurularınızı, kimliğinizi ispatlayıcı belgelerle birlikte:</w:t>
      </w:r>
    </w:p>
    <w:p w14:paraId="13DD7E74" w14:textId="77777777" w:rsidR="00236023" w:rsidRDefault="00000000">
      <w:pPr>
        <w:pStyle w:val="ListeParagraf"/>
        <w:numPr>
          <w:ilvl w:val="0"/>
          <w:numId w:val="2"/>
        </w:numPr>
        <w:spacing w:before="40" w:after="40"/>
        <w:jc w:val="both"/>
      </w:pPr>
      <w:r>
        <w:t>Şirket adresine şahsen elden teslim ederek,</w:t>
      </w:r>
    </w:p>
    <w:p w14:paraId="3348D985" w14:textId="77777777" w:rsidR="00236023" w:rsidRDefault="00000000">
      <w:pPr>
        <w:pStyle w:val="ListeParagraf"/>
        <w:numPr>
          <w:ilvl w:val="0"/>
          <w:numId w:val="2"/>
        </w:numPr>
        <w:spacing w:before="40" w:after="40"/>
        <w:jc w:val="both"/>
      </w:pPr>
      <w:r>
        <w:t>Islak imzalı dilekçeyle iadeli taahhütlü posta yoluyla göndererek,</w:t>
      </w:r>
    </w:p>
    <w:p w14:paraId="0CCD91B2" w14:textId="77777777" w:rsidR="00236023" w:rsidRDefault="00000000">
      <w:pPr>
        <w:pStyle w:val="ListeParagraf"/>
        <w:numPr>
          <w:ilvl w:val="0"/>
          <w:numId w:val="2"/>
        </w:numPr>
        <w:spacing w:before="40" w:after="40"/>
        <w:jc w:val="both"/>
      </w:pPr>
      <w:r>
        <w:t>Kayıtlı elektronik posta (KEP) adresimiz aracılığıyla, ya da</w:t>
      </w:r>
    </w:p>
    <w:p w14:paraId="455B0CFD" w14:textId="2EF83BB2" w:rsidR="00236023" w:rsidRDefault="00236023">
      <w:pPr>
        <w:pStyle w:val="ListeParagraf"/>
        <w:numPr>
          <w:ilvl w:val="0"/>
          <w:numId w:val="2"/>
        </w:numPr>
        <w:spacing w:before="40" w:after="40"/>
        <w:jc w:val="both"/>
      </w:pPr>
      <w:hyperlink r:id="rId7" w:history="1"/>
      <w:r w:rsidR="00341C67">
        <w:t xml:space="preserve"> </w:t>
      </w:r>
      <w:proofErr w:type="gramStart"/>
      <w:r w:rsidR="00341C67">
        <w:t>e</w:t>
      </w:r>
      <w:proofErr w:type="gramEnd"/>
      <w:r w:rsidR="00341C67">
        <w:t>-posta adresine, güvenli elektronik imzalı ya da kimlik doğrulamasına olanak tanıyan bir yöntemle ileterek</w:t>
      </w:r>
    </w:p>
    <w:p w14:paraId="510E3002" w14:textId="77777777" w:rsidR="00236023" w:rsidRDefault="00000000">
      <w:pPr>
        <w:spacing w:before="80" w:after="80"/>
        <w:jc w:val="both"/>
      </w:pPr>
      <w:r>
        <w:t xml:space="preserve">tarafımıza iletebilirsiniz. Başvurularınız, talebin niteliğine göre en geç </w:t>
      </w:r>
      <w:r>
        <w:rPr>
          <w:b/>
          <w:bCs/>
        </w:rPr>
        <w:t>otuz (30) gün</w:t>
      </w:r>
      <w:r>
        <w:t xml:space="preserve"> içinde yanıtlanacaktır.</w:t>
      </w:r>
    </w:p>
    <w:p w14:paraId="28549E5C" w14:textId="77777777" w:rsidR="00236023" w:rsidRDefault="00236023">
      <w:pPr>
        <w:spacing w:before="200" w:after="100"/>
      </w:pPr>
    </w:p>
    <w:p w14:paraId="514BFCE6" w14:textId="77777777" w:rsidR="00236023" w:rsidRDefault="00236023" w:rsidP="00D97A7E">
      <w:pPr>
        <w:spacing w:before="100" w:after="100"/>
      </w:pPr>
    </w:p>
    <w:p w14:paraId="79EF1073" w14:textId="12CC20C8" w:rsidR="00236023" w:rsidRDefault="00000000" w:rsidP="00D97A7E">
      <w:pPr>
        <w:spacing w:before="80" w:after="80"/>
        <w:jc w:val="both"/>
      </w:pPr>
      <w:r>
        <w:t>Bu aydınlatma metni, yasal mevzuattaki değişiklikler veya Şirketin iş süreçlerindeki güncellemeler doğrultusunda revize edilebilir. Güncel versiyona şirket internet sitesi aracılığıyla ulaşabilirsiniz.</w:t>
      </w:r>
    </w:p>
    <w:sectPr w:rsidR="00236023">
      <w:pgSz w:w="11906" w:h="16838"/>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9063" w14:textId="77777777" w:rsidR="00410E2C" w:rsidRDefault="00410E2C">
      <w:r>
        <w:separator/>
      </w:r>
    </w:p>
  </w:endnote>
  <w:endnote w:type="continuationSeparator" w:id="0">
    <w:p w14:paraId="1EC7A34A" w14:textId="77777777" w:rsidR="00410E2C" w:rsidRDefault="00410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2BBD9" w14:textId="77777777" w:rsidR="00410E2C" w:rsidRDefault="00410E2C">
      <w:r>
        <w:separator/>
      </w:r>
    </w:p>
  </w:footnote>
  <w:footnote w:type="continuationSeparator" w:id="0">
    <w:p w14:paraId="068EA92A" w14:textId="77777777" w:rsidR="00410E2C" w:rsidRDefault="00410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2A"/>
    <w:multiLevelType w:val="hybridMultilevel"/>
    <w:tmpl w:val="DA38503A"/>
    <w:lvl w:ilvl="0" w:tplc="30AEE7BC">
      <w:start w:val="1"/>
      <w:numFmt w:val="bullet"/>
      <w:lvlText w:val="●"/>
      <w:lvlJc w:val="left"/>
      <w:pPr>
        <w:ind w:left="720" w:hanging="360"/>
      </w:pPr>
    </w:lvl>
    <w:lvl w:ilvl="1" w:tplc="9B6ABD6C">
      <w:start w:val="1"/>
      <w:numFmt w:val="bullet"/>
      <w:lvlText w:val="○"/>
      <w:lvlJc w:val="left"/>
      <w:pPr>
        <w:ind w:left="1440" w:hanging="360"/>
      </w:pPr>
    </w:lvl>
    <w:lvl w:ilvl="2" w:tplc="660EAE46">
      <w:start w:val="1"/>
      <w:numFmt w:val="bullet"/>
      <w:lvlText w:val="■"/>
      <w:lvlJc w:val="left"/>
      <w:pPr>
        <w:ind w:left="2160" w:hanging="360"/>
      </w:pPr>
    </w:lvl>
    <w:lvl w:ilvl="3" w:tplc="1E563E38">
      <w:start w:val="1"/>
      <w:numFmt w:val="bullet"/>
      <w:lvlText w:val="●"/>
      <w:lvlJc w:val="left"/>
      <w:pPr>
        <w:ind w:left="2880" w:hanging="360"/>
      </w:pPr>
    </w:lvl>
    <w:lvl w:ilvl="4" w:tplc="3914109A">
      <w:start w:val="1"/>
      <w:numFmt w:val="bullet"/>
      <w:lvlText w:val="○"/>
      <w:lvlJc w:val="left"/>
      <w:pPr>
        <w:ind w:left="3600" w:hanging="360"/>
      </w:pPr>
    </w:lvl>
    <w:lvl w:ilvl="5" w:tplc="455AF32C">
      <w:start w:val="1"/>
      <w:numFmt w:val="bullet"/>
      <w:lvlText w:val="■"/>
      <w:lvlJc w:val="left"/>
      <w:pPr>
        <w:ind w:left="4320" w:hanging="360"/>
      </w:pPr>
    </w:lvl>
    <w:lvl w:ilvl="6" w:tplc="6044A59E">
      <w:start w:val="1"/>
      <w:numFmt w:val="bullet"/>
      <w:lvlText w:val="●"/>
      <w:lvlJc w:val="left"/>
      <w:pPr>
        <w:ind w:left="5040" w:hanging="360"/>
      </w:pPr>
    </w:lvl>
    <w:lvl w:ilvl="7" w:tplc="4F66657A">
      <w:start w:val="1"/>
      <w:numFmt w:val="bullet"/>
      <w:lvlText w:val="●"/>
      <w:lvlJc w:val="left"/>
      <w:pPr>
        <w:ind w:left="5760" w:hanging="360"/>
      </w:pPr>
    </w:lvl>
    <w:lvl w:ilvl="8" w:tplc="786089D8">
      <w:start w:val="1"/>
      <w:numFmt w:val="bullet"/>
      <w:lvlText w:val="●"/>
      <w:lvlJc w:val="left"/>
      <w:pPr>
        <w:ind w:left="6480" w:hanging="360"/>
      </w:pPr>
    </w:lvl>
  </w:abstractNum>
  <w:abstractNum w:abstractNumId="1" w15:restartNumberingAfterBreak="0">
    <w:nsid w:val="54FB5AD6"/>
    <w:multiLevelType w:val="hybridMultilevel"/>
    <w:tmpl w:val="114AB604"/>
    <w:lvl w:ilvl="0" w:tplc="3FEA4D8E">
      <w:start w:val="1"/>
      <w:numFmt w:val="bullet"/>
      <w:lvlText w:val="•"/>
      <w:lvlJc w:val="left"/>
      <w:pPr>
        <w:ind w:left="720" w:hanging="360"/>
      </w:pPr>
    </w:lvl>
    <w:lvl w:ilvl="1" w:tplc="D6680612">
      <w:numFmt w:val="decimal"/>
      <w:lvlText w:val=""/>
      <w:lvlJc w:val="left"/>
    </w:lvl>
    <w:lvl w:ilvl="2" w:tplc="40CC5468">
      <w:numFmt w:val="decimal"/>
      <w:lvlText w:val=""/>
      <w:lvlJc w:val="left"/>
    </w:lvl>
    <w:lvl w:ilvl="3" w:tplc="83E68020">
      <w:numFmt w:val="decimal"/>
      <w:lvlText w:val=""/>
      <w:lvlJc w:val="left"/>
    </w:lvl>
    <w:lvl w:ilvl="4" w:tplc="DF901842">
      <w:numFmt w:val="decimal"/>
      <w:lvlText w:val=""/>
      <w:lvlJc w:val="left"/>
    </w:lvl>
    <w:lvl w:ilvl="5" w:tplc="EECCAC0E">
      <w:numFmt w:val="decimal"/>
      <w:lvlText w:val=""/>
      <w:lvlJc w:val="left"/>
    </w:lvl>
    <w:lvl w:ilvl="6" w:tplc="354AA968">
      <w:numFmt w:val="decimal"/>
      <w:lvlText w:val=""/>
      <w:lvlJc w:val="left"/>
    </w:lvl>
    <w:lvl w:ilvl="7" w:tplc="6AB073A0">
      <w:numFmt w:val="decimal"/>
      <w:lvlText w:val=""/>
      <w:lvlJc w:val="left"/>
    </w:lvl>
    <w:lvl w:ilvl="8" w:tplc="507625DE">
      <w:numFmt w:val="decimal"/>
      <w:lvlText w:val=""/>
      <w:lvlJc w:val="left"/>
    </w:lvl>
  </w:abstractNum>
  <w:num w:numId="1" w16cid:durableId="33237616">
    <w:abstractNumId w:val="0"/>
    <w:lvlOverride w:ilvl="0">
      <w:startOverride w:val="1"/>
    </w:lvlOverride>
  </w:num>
  <w:num w:numId="2" w16cid:durableId="74391997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23"/>
    <w:rsid w:val="000457C8"/>
    <w:rsid w:val="00074B2F"/>
    <w:rsid w:val="00232E0E"/>
    <w:rsid w:val="00236023"/>
    <w:rsid w:val="00341C67"/>
    <w:rsid w:val="003D433C"/>
    <w:rsid w:val="00410E2C"/>
    <w:rsid w:val="007D2129"/>
    <w:rsid w:val="00803014"/>
    <w:rsid w:val="0084260B"/>
    <w:rsid w:val="00AD155E"/>
    <w:rsid w:val="00BD13FE"/>
    <w:rsid w:val="00C86BC1"/>
    <w:rsid w:val="00D97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CB34"/>
  <w15:docId w15:val="{E5C0764A-1F38-45EA-B96D-E185C5BC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D97A7E"/>
    <w:pPr>
      <w:tabs>
        <w:tab w:val="center" w:pos="4536"/>
        <w:tab w:val="right" w:pos="9072"/>
      </w:tabs>
    </w:pPr>
  </w:style>
  <w:style w:type="character" w:customStyle="1" w:styleId="stBilgiChar">
    <w:name w:val="Üst Bilgi Char"/>
    <w:basedOn w:val="VarsaylanParagrafYazTipi"/>
    <w:link w:val="stBilgi"/>
    <w:uiPriority w:val="99"/>
    <w:rsid w:val="00D97A7E"/>
  </w:style>
  <w:style w:type="paragraph" w:styleId="AltBilgi">
    <w:name w:val="footer"/>
    <w:basedOn w:val="Normal"/>
    <w:link w:val="AltBilgiChar"/>
    <w:uiPriority w:val="99"/>
    <w:unhideWhenUsed/>
    <w:rsid w:val="00D97A7E"/>
    <w:pPr>
      <w:tabs>
        <w:tab w:val="center" w:pos="4536"/>
        <w:tab w:val="right" w:pos="9072"/>
      </w:tabs>
    </w:pPr>
  </w:style>
  <w:style w:type="character" w:customStyle="1" w:styleId="AltBilgiChar">
    <w:name w:val="Alt Bilgi Char"/>
    <w:basedOn w:val="VarsaylanParagrafYazTipi"/>
    <w:link w:val="AltBilgi"/>
    <w:uiPriority w:val="99"/>
    <w:rsid w:val="00D97A7E"/>
  </w:style>
  <w:style w:type="character" w:styleId="zmlenmeyenBahsetme">
    <w:name w:val="Unresolved Mention"/>
    <w:basedOn w:val="VarsaylanParagrafYazTipi"/>
    <w:uiPriority w:val="99"/>
    <w:semiHidden/>
    <w:unhideWhenUsed/>
    <w:rsid w:val="0034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hakandov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1194</Words>
  <Characters>6810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Av.Öykü Gülsaran</cp:lastModifiedBy>
  <cp:revision>5</cp:revision>
  <dcterms:created xsi:type="dcterms:W3CDTF">2026-04-23T14:21:00Z</dcterms:created>
  <dcterms:modified xsi:type="dcterms:W3CDTF">2026-05-04T07:49:00Z</dcterms:modified>
</cp:coreProperties>
</file>